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F9" w:rsidRDefault="003417F9" w:rsidP="0021533B">
      <w:bookmarkStart w:id="0" w:name="_GoBack"/>
      <w:bookmarkEnd w:id="0"/>
    </w:p>
    <w:p w:rsidR="003417F9" w:rsidRPr="008538B6" w:rsidRDefault="003417F9" w:rsidP="00E80304">
      <w:pPr>
        <w:spacing w:after="0" w:line="240" w:lineRule="auto"/>
        <w:jc w:val="center"/>
        <w:rPr>
          <w:b/>
          <w:sz w:val="24"/>
          <w:szCs w:val="24"/>
          <w:lang w:eastAsia="zh-TW"/>
        </w:rPr>
      </w:pPr>
      <w:r>
        <w:rPr>
          <w:rFonts w:hint="eastAsia"/>
          <w:b/>
          <w:bCs/>
          <w:sz w:val="24"/>
          <w:szCs w:val="24"/>
          <w:lang w:val="zh-TW" w:eastAsia="zh-TW"/>
        </w:rPr>
        <w:t>特區提袋規定摘要</w:t>
      </w:r>
      <w:r>
        <w:rPr>
          <w:b/>
          <w:bCs/>
          <w:sz w:val="24"/>
          <w:szCs w:val="24"/>
          <w:lang w:val="zh-TW" w:eastAsia="zh-TW"/>
        </w:rPr>
        <w:t xml:space="preserve"> </w:t>
      </w:r>
    </w:p>
    <w:p w:rsidR="003417F9" w:rsidRPr="008538B6" w:rsidRDefault="003417F9" w:rsidP="00E80304">
      <w:pPr>
        <w:spacing w:after="0" w:line="240" w:lineRule="auto"/>
        <w:jc w:val="center"/>
        <w:rPr>
          <w:b/>
          <w:sz w:val="24"/>
          <w:szCs w:val="24"/>
          <w:lang w:eastAsia="zh-TW"/>
        </w:rPr>
      </w:pPr>
      <w:r>
        <w:rPr>
          <w:rFonts w:hint="eastAsia"/>
          <w:b/>
          <w:bCs/>
          <w:sz w:val="24"/>
          <w:szCs w:val="24"/>
          <w:lang w:val="zh-TW" w:eastAsia="zh-TW"/>
        </w:rPr>
        <w:t>（哥倫比亞特區市政法規第</w:t>
      </w:r>
      <w:r>
        <w:rPr>
          <w:b/>
          <w:bCs/>
          <w:sz w:val="24"/>
          <w:szCs w:val="24"/>
          <w:lang w:val="zh-TW" w:eastAsia="zh-TW"/>
        </w:rPr>
        <w:t>21</w:t>
      </w:r>
      <w:r>
        <w:rPr>
          <w:rFonts w:hint="eastAsia"/>
          <w:b/>
          <w:bCs/>
          <w:sz w:val="24"/>
          <w:szCs w:val="24"/>
          <w:lang w:val="zh-TW" w:eastAsia="zh-TW"/>
        </w:rPr>
        <w:t>篇第</w:t>
      </w:r>
      <w:r>
        <w:rPr>
          <w:b/>
          <w:bCs/>
          <w:sz w:val="24"/>
          <w:szCs w:val="24"/>
          <w:lang w:val="zh-TW" w:eastAsia="zh-TW"/>
        </w:rPr>
        <w:t>10</w:t>
      </w:r>
      <w:r>
        <w:rPr>
          <w:rFonts w:hint="eastAsia"/>
          <w:b/>
          <w:bCs/>
          <w:sz w:val="24"/>
          <w:szCs w:val="24"/>
          <w:lang w:val="zh-TW" w:eastAsia="zh-TW"/>
        </w:rPr>
        <w:t>章）</w:t>
      </w:r>
    </w:p>
    <w:p w:rsidR="003417F9" w:rsidRDefault="003417F9" w:rsidP="00E80304">
      <w:pPr>
        <w:spacing w:after="0" w:line="240" w:lineRule="auto"/>
        <w:jc w:val="center"/>
        <w:rPr>
          <w:lang w:eastAsia="zh-TW"/>
        </w:rPr>
      </w:pPr>
    </w:p>
    <w:p w:rsidR="003417F9" w:rsidRPr="00ED120A" w:rsidRDefault="003417F9" w:rsidP="00E80304">
      <w:pPr>
        <w:spacing w:after="0" w:line="240" w:lineRule="auto"/>
        <w:rPr>
          <w:b/>
          <w:sz w:val="24"/>
          <w:szCs w:val="24"/>
          <w:lang w:eastAsia="zh-TW"/>
        </w:rPr>
      </w:pPr>
      <w:r>
        <w:rPr>
          <w:rFonts w:hint="eastAsia"/>
          <w:b/>
          <w:bCs/>
          <w:sz w:val="24"/>
          <w:szCs w:val="24"/>
          <w:lang w:val="zh-TW" w:eastAsia="zh-TW"/>
        </w:rPr>
        <w:t>下述規定適用於在哥倫比亞特區販售食物或酒類商家賣出或發給的紙袋與塑膠袋。</w:t>
      </w:r>
    </w:p>
    <w:p w:rsidR="003417F9" w:rsidRPr="0021533B" w:rsidRDefault="003417F9" w:rsidP="00E80304">
      <w:pPr>
        <w:spacing w:after="0" w:line="240" w:lineRule="auto"/>
        <w:rPr>
          <w:b/>
          <w:lang w:eastAsia="zh-TW"/>
        </w:rPr>
      </w:pPr>
    </w:p>
    <w:p w:rsidR="003417F9" w:rsidRPr="009318F4" w:rsidRDefault="003417F9" w:rsidP="00E80304">
      <w:pPr>
        <w:numPr>
          <w:ilvl w:val="0"/>
          <w:numId w:val="1"/>
        </w:numPr>
        <w:tabs>
          <w:tab w:val="left" w:pos="720"/>
        </w:tabs>
        <w:autoSpaceDE w:val="0"/>
        <w:autoSpaceDN w:val="0"/>
        <w:adjustRightInd w:val="0"/>
        <w:spacing w:after="0" w:line="240" w:lineRule="auto"/>
        <w:rPr>
          <w:lang w:eastAsia="zh-TW"/>
        </w:rPr>
      </w:pPr>
      <w:r>
        <w:rPr>
          <w:rFonts w:hint="eastAsia"/>
          <w:lang w:val="zh-TW" w:eastAsia="zh-TW"/>
        </w:rPr>
        <w:t>所有提供的拋棄式</w:t>
      </w:r>
      <w:r>
        <w:rPr>
          <w:rFonts w:hint="eastAsia"/>
          <w:b/>
          <w:bCs/>
          <w:lang w:val="zh-TW" w:eastAsia="zh-TW"/>
        </w:rPr>
        <w:t>紙</w:t>
      </w:r>
      <w:r>
        <w:rPr>
          <w:rFonts w:hint="eastAsia"/>
          <w:lang w:val="zh-TW" w:eastAsia="zh-TW"/>
        </w:rPr>
        <w:t>製與</w:t>
      </w:r>
      <w:r>
        <w:rPr>
          <w:rFonts w:hint="eastAsia"/>
          <w:b/>
          <w:bCs/>
          <w:lang w:val="zh-TW" w:eastAsia="zh-TW"/>
        </w:rPr>
        <w:t>塑膠</w:t>
      </w:r>
      <w:r>
        <w:rPr>
          <w:rFonts w:hint="eastAsia"/>
          <w:lang w:val="zh-TW" w:eastAsia="zh-TW"/>
        </w:rPr>
        <w:t>提袋都必須是百分之百（</w:t>
      </w:r>
      <w:r>
        <w:rPr>
          <w:lang w:val="zh-TW" w:eastAsia="zh-TW"/>
        </w:rPr>
        <w:t>100%</w:t>
      </w:r>
      <w:r>
        <w:rPr>
          <w:rFonts w:hint="eastAsia"/>
          <w:lang w:val="zh-TW" w:eastAsia="zh-TW"/>
        </w:rPr>
        <w:t>）可回收的。</w:t>
      </w:r>
    </w:p>
    <w:p w:rsidR="003417F9" w:rsidRPr="009318F4" w:rsidRDefault="003417F9" w:rsidP="00E80304">
      <w:pPr>
        <w:numPr>
          <w:ilvl w:val="0"/>
          <w:numId w:val="1"/>
        </w:numPr>
        <w:autoSpaceDE w:val="0"/>
        <w:autoSpaceDN w:val="0"/>
        <w:adjustRightInd w:val="0"/>
        <w:spacing w:after="0" w:line="240" w:lineRule="auto"/>
      </w:pPr>
      <w:r>
        <w:rPr>
          <w:rFonts w:hint="eastAsia"/>
          <w:lang w:val="zh-TW"/>
        </w:rPr>
        <w:t>所有的拋棄式</w:t>
      </w:r>
      <w:r>
        <w:rPr>
          <w:rFonts w:hint="eastAsia"/>
          <w:b/>
          <w:bCs/>
          <w:lang w:val="zh-TW"/>
        </w:rPr>
        <w:t>紙</w:t>
      </w:r>
      <w:r>
        <w:rPr>
          <w:rFonts w:hint="eastAsia"/>
          <w:lang w:val="zh-TW"/>
        </w:rPr>
        <w:t>製與</w:t>
      </w:r>
      <w:r>
        <w:rPr>
          <w:rFonts w:hint="eastAsia"/>
          <w:b/>
          <w:bCs/>
          <w:lang w:val="zh-TW"/>
        </w:rPr>
        <w:t>塑膠</w:t>
      </w:r>
      <w:r>
        <w:rPr>
          <w:rFonts w:hint="eastAsia"/>
          <w:lang w:val="zh-TW"/>
        </w:rPr>
        <w:t>提袋上都必須以醒目的方式呈現</w:t>
      </w:r>
      <w:r>
        <w:rPr>
          <w:lang w:val="zh-TW"/>
        </w:rPr>
        <w:t>“Please Recycle This Bag”</w:t>
      </w:r>
      <w:r>
        <w:rPr>
          <w:rFonts w:hint="eastAsia"/>
          <w:lang w:val="zh-TW"/>
        </w:rPr>
        <w:t>（請回收此袋）或類似標語。</w:t>
      </w:r>
      <w:r>
        <w:rPr>
          <w:lang w:val="zh-TW"/>
        </w:rPr>
        <w:t xml:space="preserve"> </w:t>
      </w:r>
    </w:p>
    <w:p w:rsidR="003417F9" w:rsidRPr="009318F4" w:rsidRDefault="003417F9" w:rsidP="00E80304">
      <w:pPr>
        <w:numPr>
          <w:ilvl w:val="1"/>
          <w:numId w:val="1"/>
        </w:numPr>
        <w:autoSpaceDE w:val="0"/>
        <w:autoSpaceDN w:val="0"/>
        <w:adjustRightInd w:val="0"/>
        <w:spacing w:after="0" w:line="240" w:lineRule="auto"/>
        <w:rPr>
          <w:lang w:eastAsia="zh-TW"/>
        </w:rPr>
      </w:pPr>
      <w:r>
        <w:rPr>
          <w:rFonts w:hint="eastAsia"/>
          <w:lang w:val="zh-TW" w:eastAsia="zh-TW"/>
        </w:rPr>
        <w:t>該回收標語必須呈現在袋子正面或背面，不能在袋子的側邊或底部。</w:t>
      </w:r>
    </w:p>
    <w:p w:rsidR="003417F9" w:rsidRPr="000D64BC" w:rsidRDefault="003417F9" w:rsidP="00E80304">
      <w:pPr>
        <w:numPr>
          <w:ilvl w:val="1"/>
          <w:numId w:val="1"/>
        </w:numPr>
        <w:autoSpaceDE w:val="0"/>
        <w:autoSpaceDN w:val="0"/>
        <w:adjustRightInd w:val="0"/>
        <w:spacing w:after="0" w:line="240" w:lineRule="auto"/>
        <w:rPr>
          <w:lang w:eastAsia="zh-TW"/>
        </w:rPr>
      </w:pPr>
      <w:r>
        <w:rPr>
          <w:rFonts w:hint="eastAsia"/>
          <w:lang w:val="zh-TW" w:eastAsia="zh-TW"/>
        </w:rPr>
        <w:t>標語的字體高度至少須有半（</w:t>
      </w:r>
      <w:r>
        <w:rPr>
          <w:lang w:val="zh-TW" w:eastAsia="zh-TW"/>
        </w:rPr>
        <w:t>0.5</w:t>
      </w:r>
      <w:r>
        <w:rPr>
          <w:rFonts w:hint="eastAsia"/>
          <w:lang w:val="zh-TW" w:eastAsia="zh-TW"/>
        </w:rPr>
        <w:t>）吋，或至少佔袋子正面寬度的</w:t>
      </w:r>
    </w:p>
    <w:p w:rsidR="003417F9" w:rsidRPr="009318F4" w:rsidRDefault="003417F9" w:rsidP="000D64BC">
      <w:pPr>
        <w:autoSpaceDE w:val="0"/>
        <w:autoSpaceDN w:val="0"/>
        <w:adjustRightInd w:val="0"/>
        <w:spacing w:after="0" w:line="240" w:lineRule="auto"/>
        <w:ind w:left="1080"/>
      </w:pPr>
      <w:r>
        <w:rPr>
          <w:lang w:val="zh-TW" w:eastAsia="zh-TW"/>
        </w:rPr>
        <w:tab/>
      </w:r>
      <w:r>
        <w:rPr>
          <w:rFonts w:hint="eastAsia"/>
          <w:lang w:val="zh-TW"/>
        </w:rPr>
        <w:t>百分之七十五（</w:t>
      </w:r>
      <w:r>
        <w:rPr>
          <w:lang w:val="zh-TW"/>
        </w:rPr>
        <w:t>75%</w:t>
      </w:r>
      <w:r>
        <w:rPr>
          <w:rFonts w:hint="eastAsia"/>
          <w:lang w:val="zh-TW"/>
        </w:rPr>
        <w:t>）。</w:t>
      </w:r>
    </w:p>
    <w:p w:rsidR="003417F9" w:rsidRPr="009318F4" w:rsidRDefault="003417F9" w:rsidP="00E80304">
      <w:pPr>
        <w:numPr>
          <w:ilvl w:val="0"/>
          <w:numId w:val="1"/>
        </w:numPr>
        <w:autoSpaceDE w:val="0"/>
        <w:autoSpaceDN w:val="0"/>
        <w:adjustRightInd w:val="0"/>
        <w:spacing w:after="0" w:line="240" w:lineRule="auto"/>
        <w:rPr>
          <w:lang w:eastAsia="zh-TW"/>
        </w:rPr>
      </w:pPr>
      <w:r>
        <w:rPr>
          <w:rFonts w:hint="eastAsia"/>
          <w:lang w:val="zh-TW" w:eastAsia="zh-TW"/>
        </w:rPr>
        <w:t>該回收標語的字體必須採用粗體。</w:t>
      </w:r>
    </w:p>
    <w:p w:rsidR="003417F9" w:rsidRPr="009318F4" w:rsidRDefault="003417F9" w:rsidP="00E80304">
      <w:pPr>
        <w:numPr>
          <w:ilvl w:val="0"/>
          <w:numId w:val="1"/>
        </w:numPr>
        <w:autoSpaceDE w:val="0"/>
        <w:autoSpaceDN w:val="0"/>
        <w:adjustRightInd w:val="0"/>
        <w:spacing w:after="0" w:line="240" w:lineRule="auto"/>
        <w:rPr>
          <w:lang w:eastAsia="zh-TW"/>
        </w:rPr>
      </w:pPr>
      <w:r>
        <w:rPr>
          <w:rFonts w:hint="eastAsia"/>
          <w:lang w:val="zh-TW" w:eastAsia="zh-TW"/>
        </w:rPr>
        <w:t>所有的拋棄式</w:t>
      </w:r>
      <w:r>
        <w:rPr>
          <w:rFonts w:hint="eastAsia"/>
          <w:b/>
          <w:bCs/>
          <w:lang w:val="zh-TW" w:eastAsia="zh-TW"/>
        </w:rPr>
        <w:t>紙</w:t>
      </w:r>
      <w:r>
        <w:rPr>
          <w:rFonts w:hint="eastAsia"/>
          <w:lang w:val="zh-TW" w:eastAsia="zh-TW"/>
        </w:rPr>
        <w:t>提袋均必須至少包含百分之四十（</w:t>
      </w:r>
      <w:r>
        <w:rPr>
          <w:lang w:val="zh-TW" w:eastAsia="zh-TW"/>
        </w:rPr>
        <w:t>40%</w:t>
      </w:r>
      <w:r>
        <w:rPr>
          <w:rFonts w:hint="eastAsia"/>
          <w:lang w:val="zh-TW" w:eastAsia="zh-TW"/>
        </w:rPr>
        <w:t>）的消費後再生成分。</w:t>
      </w:r>
    </w:p>
    <w:p w:rsidR="003417F9" w:rsidRPr="009318F4" w:rsidRDefault="003417F9" w:rsidP="00E80304">
      <w:pPr>
        <w:numPr>
          <w:ilvl w:val="0"/>
          <w:numId w:val="1"/>
        </w:numPr>
        <w:tabs>
          <w:tab w:val="left" w:pos="720"/>
        </w:tabs>
        <w:autoSpaceDE w:val="0"/>
        <w:autoSpaceDN w:val="0"/>
        <w:adjustRightInd w:val="0"/>
        <w:spacing w:after="0" w:line="240" w:lineRule="auto"/>
        <w:rPr>
          <w:lang w:eastAsia="zh-TW"/>
        </w:rPr>
      </w:pPr>
      <w:r>
        <w:rPr>
          <w:rFonts w:hint="eastAsia"/>
          <w:lang w:val="zh-TW" w:eastAsia="zh-TW"/>
        </w:rPr>
        <w:t>所有的拋棄式</w:t>
      </w:r>
      <w:r>
        <w:rPr>
          <w:rFonts w:hint="eastAsia"/>
          <w:b/>
          <w:bCs/>
          <w:lang w:val="zh-TW" w:eastAsia="zh-TW"/>
        </w:rPr>
        <w:t>塑膠</w:t>
      </w:r>
      <w:r>
        <w:rPr>
          <w:rFonts w:hint="eastAsia"/>
          <w:lang w:val="zh-TW" w:eastAsia="zh-TW"/>
        </w:rPr>
        <w:t>提袋均必須以標有美國塑膠工業協會（</w:t>
      </w:r>
      <w:r>
        <w:rPr>
          <w:lang w:val="zh-TW" w:eastAsia="zh-TW"/>
        </w:rPr>
        <w:t>SPI</w:t>
      </w:r>
      <w:r>
        <w:rPr>
          <w:rFonts w:hint="eastAsia"/>
          <w:lang w:val="zh-TW" w:eastAsia="zh-TW"/>
        </w:rPr>
        <w:t>）塑膠材質編號</w:t>
      </w:r>
      <w:r>
        <w:rPr>
          <w:lang w:val="zh-TW" w:eastAsia="zh-TW"/>
        </w:rPr>
        <w:t>2</w:t>
      </w:r>
      <w:r>
        <w:rPr>
          <w:rFonts w:hint="eastAsia"/>
          <w:lang w:val="zh-TW" w:eastAsia="zh-TW"/>
        </w:rPr>
        <w:t>的高密度聚乙烯膜製成，或以標有美國塑膠工業協會（</w:t>
      </w:r>
      <w:r>
        <w:rPr>
          <w:lang w:val="zh-TW" w:eastAsia="zh-TW"/>
        </w:rPr>
        <w:t>SPI</w:t>
      </w:r>
      <w:r>
        <w:rPr>
          <w:rFonts w:hint="eastAsia"/>
          <w:lang w:val="zh-TW" w:eastAsia="zh-TW"/>
        </w:rPr>
        <w:t>）塑膠材質編號</w:t>
      </w:r>
      <w:r>
        <w:rPr>
          <w:lang w:val="zh-TW" w:eastAsia="zh-TW"/>
        </w:rPr>
        <w:t>4</w:t>
      </w:r>
      <w:r>
        <w:rPr>
          <w:rFonts w:hint="eastAsia"/>
          <w:lang w:val="zh-TW" w:eastAsia="zh-TW"/>
        </w:rPr>
        <w:t>的低密度聚乙烯薄膜製成。</w:t>
      </w:r>
    </w:p>
    <w:p w:rsidR="003417F9" w:rsidRPr="009318F4" w:rsidRDefault="003417F9" w:rsidP="00E80304">
      <w:pPr>
        <w:numPr>
          <w:ilvl w:val="0"/>
          <w:numId w:val="1"/>
        </w:numPr>
        <w:tabs>
          <w:tab w:val="left" w:pos="720"/>
        </w:tabs>
        <w:autoSpaceDE w:val="0"/>
        <w:autoSpaceDN w:val="0"/>
        <w:adjustRightInd w:val="0"/>
        <w:spacing w:after="0" w:line="240" w:lineRule="auto"/>
        <w:rPr>
          <w:lang w:eastAsia="zh-TW"/>
        </w:rPr>
      </w:pPr>
      <w:r>
        <w:rPr>
          <w:rFonts w:hint="eastAsia"/>
          <w:lang w:val="zh-TW" w:eastAsia="zh-TW"/>
        </w:rPr>
        <w:t>所有的拋棄式提袋即使是可生物分解或可堆肥的，它們仍需符合這部分的規定。</w:t>
      </w:r>
    </w:p>
    <w:p w:rsidR="003417F9" w:rsidRPr="009318F4" w:rsidRDefault="003417F9" w:rsidP="00E80304">
      <w:pPr>
        <w:numPr>
          <w:ilvl w:val="0"/>
          <w:numId w:val="1"/>
        </w:numPr>
        <w:tabs>
          <w:tab w:val="left" w:pos="720"/>
        </w:tabs>
        <w:autoSpaceDE w:val="0"/>
        <w:autoSpaceDN w:val="0"/>
        <w:adjustRightInd w:val="0"/>
        <w:spacing w:after="0" w:line="240" w:lineRule="auto"/>
        <w:rPr>
          <w:lang w:eastAsia="zh-TW"/>
        </w:rPr>
      </w:pPr>
      <w:r>
        <w:rPr>
          <w:rFonts w:hint="eastAsia"/>
          <w:lang w:val="zh-TW" w:eastAsia="zh-TW"/>
        </w:rPr>
        <w:t>含有</w:t>
      </w:r>
      <w:r>
        <w:rPr>
          <w:rFonts w:hint="eastAsia"/>
          <w:b/>
          <w:bCs/>
          <w:lang w:val="zh-TW" w:eastAsia="zh-TW"/>
        </w:rPr>
        <w:t>塑膠和紙</w:t>
      </w:r>
      <w:r>
        <w:rPr>
          <w:rFonts w:hint="eastAsia"/>
          <w:lang w:val="zh-TW" w:eastAsia="zh-TW"/>
        </w:rPr>
        <w:t>這兩種成分的拋棄式提袋，其紙成分必須符合紙袋的適用規定，塑膠成分則必須符合塑膠袋的適用規定。</w:t>
      </w:r>
    </w:p>
    <w:p w:rsidR="003417F9" w:rsidRPr="009318F4" w:rsidRDefault="003417F9" w:rsidP="00E80304">
      <w:pPr>
        <w:numPr>
          <w:ilvl w:val="0"/>
          <w:numId w:val="1"/>
        </w:numPr>
        <w:tabs>
          <w:tab w:val="left" w:pos="720"/>
        </w:tabs>
        <w:autoSpaceDE w:val="0"/>
        <w:autoSpaceDN w:val="0"/>
        <w:adjustRightInd w:val="0"/>
        <w:spacing w:after="0" w:line="240" w:lineRule="auto"/>
        <w:rPr>
          <w:lang w:eastAsia="zh-TW"/>
        </w:rPr>
      </w:pPr>
      <w:r>
        <w:rPr>
          <w:rFonts w:cs="Times-Roman" w:hint="eastAsia"/>
          <w:lang w:val="zh-TW" w:eastAsia="zh-TW"/>
        </w:rPr>
        <w:t>在特區出售、分發、零售或批發非百分之百（</w:t>
      </w:r>
      <w:r>
        <w:rPr>
          <w:rFonts w:cs="Times-Roman"/>
          <w:lang w:val="zh-TW" w:eastAsia="zh-TW"/>
        </w:rPr>
        <w:t>100%</w:t>
      </w:r>
      <w:r>
        <w:rPr>
          <w:rFonts w:cs="Times-Roman" w:hint="eastAsia"/>
          <w:lang w:val="zh-TW" w:eastAsia="zh-TW"/>
        </w:rPr>
        <w:t>）可回收的</w:t>
      </w:r>
      <w:r>
        <w:rPr>
          <w:rFonts w:cs="Times-Roman" w:hint="eastAsia"/>
          <w:b/>
          <w:bCs/>
          <w:lang w:val="zh-TW" w:eastAsia="zh-TW"/>
        </w:rPr>
        <w:t>塑膠</w:t>
      </w:r>
      <w:r>
        <w:rPr>
          <w:rFonts w:cs="Times-Roman" w:hint="eastAsia"/>
          <w:lang w:val="zh-TW" w:eastAsia="zh-TW"/>
        </w:rPr>
        <w:t>製拋棄式提袋是不合法的。</w:t>
      </w:r>
    </w:p>
    <w:p w:rsidR="003417F9" w:rsidRPr="009318F4" w:rsidRDefault="003417F9" w:rsidP="00E80304">
      <w:pPr>
        <w:pStyle w:val="ColorfulList-Accent11"/>
        <w:numPr>
          <w:ilvl w:val="0"/>
          <w:numId w:val="1"/>
        </w:numPr>
        <w:tabs>
          <w:tab w:val="left" w:pos="720"/>
        </w:tabs>
        <w:autoSpaceDE w:val="0"/>
        <w:autoSpaceDN w:val="0"/>
        <w:adjustRightInd w:val="0"/>
        <w:spacing w:after="0" w:line="240" w:lineRule="auto"/>
        <w:contextualSpacing w:val="0"/>
        <w:rPr>
          <w:lang w:eastAsia="zh-TW"/>
        </w:rPr>
      </w:pPr>
      <w:r>
        <w:rPr>
          <w:rFonts w:ascii="MingLiU" w:eastAsia="MingLiU" w:hAnsi="MingLiU" w:cs="MingLiU" w:hint="eastAsia"/>
          <w:b/>
          <w:bCs/>
          <w:lang w:val="zh-TW" w:eastAsia="zh-TW"/>
        </w:rPr>
        <w:t>可重複使用的提袋</w:t>
      </w:r>
      <w:r>
        <w:rPr>
          <w:rFonts w:ascii="MingLiU" w:eastAsia="MingLiU" w:hAnsi="MingLiU" w:cs="MingLiU" w:hint="eastAsia"/>
          <w:lang w:val="zh-TW" w:eastAsia="zh-TW"/>
        </w:rPr>
        <w:t>是指有把手的袋子，針對多次使用的目的而特製，以布、纖維、可用機器洗滌的其他布料，或至少二又四分之一毫米（</w:t>
      </w:r>
      <w:r>
        <w:rPr>
          <w:lang w:val="zh-TW" w:eastAsia="zh-TW"/>
        </w:rPr>
        <w:t>2.25 mm</w:t>
      </w:r>
      <w:r>
        <w:rPr>
          <w:rFonts w:ascii="MingLiU" w:eastAsia="MingLiU" w:hAnsi="MingLiU" w:cs="MingLiU" w:hint="eastAsia"/>
          <w:lang w:val="zh-TW" w:eastAsia="zh-TW"/>
        </w:rPr>
        <w:t>）厚的耐用塑膠等材質製成。</w:t>
      </w:r>
    </w:p>
    <w:p w:rsidR="003417F9" w:rsidRDefault="003417F9" w:rsidP="00E80304">
      <w:pPr>
        <w:rPr>
          <w:lang w:eastAsia="zh-TW"/>
        </w:rPr>
      </w:pPr>
    </w:p>
    <w:p w:rsidR="003417F9" w:rsidRDefault="003417F9">
      <w:pPr>
        <w:rPr>
          <w:lang w:eastAsia="zh-TW"/>
        </w:rPr>
      </w:pPr>
    </w:p>
    <w:sectPr w:rsidR="003417F9" w:rsidSect="003870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7F9" w:rsidRDefault="003417F9" w:rsidP="00E80304">
      <w:pPr>
        <w:spacing w:after="0" w:line="240" w:lineRule="auto"/>
      </w:pPr>
      <w:r>
        <w:separator/>
      </w:r>
    </w:p>
  </w:endnote>
  <w:endnote w:type="continuationSeparator" w:id="0">
    <w:p w:rsidR="003417F9" w:rsidRDefault="003417F9" w:rsidP="00E80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7F9" w:rsidRDefault="003417F9" w:rsidP="00E80304">
      <w:pPr>
        <w:spacing w:after="0" w:line="240" w:lineRule="auto"/>
      </w:pPr>
      <w:r>
        <w:separator/>
      </w:r>
    </w:p>
  </w:footnote>
  <w:footnote w:type="continuationSeparator" w:id="0">
    <w:p w:rsidR="003417F9" w:rsidRDefault="003417F9" w:rsidP="00E803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B4990"/>
    <w:multiLevelType w:val="hybridMultilevel"/>
    <w:tmpl w:val="3A8C9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3B"/>
    <w:rsid w:val="000D64BC"/>
    <w:rsid w:val="00125A89"/>
    <w:rsid w:val="0021533B"/>
    <w:rsid w:val="003417F9"/>
    <w:rsid w:val="003870AC"/>
    <w:rsid w:val="00521646"/>
    <w:rsid w:val="00597354"/>
    <w:rsid w:val="006401A8"/>
    <w:rsid w:val="006C56D4"/>
    <w:rsid w:val="0077407A"/>
    <w:rsid w:val="007D70D7"/>
    <w:rsid w:val="008538B6"/>
    <w:rsid w:val="008D4D9C"/>
    <w:rsid w:val="009318F4"/>
    <w:rsid w:val="00C23199"/>
    <w:rsid w:val="00D40C43"/>
    <w:rsid w:val="00E03B02"/>
    <w:rsid w:val="00E80304"/>
    <w:rsid w:val="00ED120A"/>
    <w:rsid w:val="00F8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3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rsid w:val="0021533B"/>
    <w:pPr>
      <w:ind w:left="720"/>
      <w:contextualSpacing/>
    </w:pPr>
  </w:style>
  <w:style w:type="character" w:styleId="CommentReference">
    <w:name w:val="annotation reference"/>
    <w:basedOn w:val="DefaultParagraphFont"/>
    <w:uiPriority w:val="99"/>
    <w:semiHidden/>
    <w:rsid w:val="007D70D7"/>
    <w:rPr>
      <w:rFonts w:cs="Times New Roman"/>
      <w:sz w:val="16"/>
      <w:szCs w:val="16"/>
    </w:rPr>
  </w:style>
  <w:style w:type="paragraph" w:styleId="CommentText">
    <w:name w:val="annotation text"/>
    <w:basedOn w:val="Normal"/>
    <w:link w:val="CommentTextChar"/>
    <w:uiPriority w:val="99"/>
    <w:semiHidden/>
    <w:rsid w:val="007D70D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D70D7"/>
    <w:rPr>
      <w:rFonts w:cs="Times New Roman"/>
      <w:sz w:val="20"/>
      <w:szCs w:val="20"/>
    </w:rPr>
  </w:style>
  <w:style w:type="paragraph" w:styleId="CommentSubject">
    <w:name w:val="annotation subject"/>
    <w:basedOn w:val="CommentText"/>
    <w:next w:val="CommentText"/>
    <w:link w:val="CommentSubjectChar"/>
    <w:uiPriority w:val="99"/>
    <w:semiHidden/>
    <w:rsid w:val="007D70D7"/>
    <w:rPr>
      <w:b/>
      <w:bCs/>
    </w:rPr>
  </w:style>
  <w:style w:type="character" w:customStyle="1" w:styleId="CommentSubjectChar">
    <w:name w:val="Comment Subject Char"/>
    <w:basedOn w:val="CommentTextChar"/>
    <w:link w:val="CommentSubject"/>
    <w:uiPriority w:val="99"/>
    <w:semiHidden/>
    <w:locked/>
    <w:rsid w:val="007D70D7"/>
    <w:rPr>
      <w:rFonts w:cs="Times New Roman"/>
      <w:b/>
      <w:bCs/>
      <w:sz w:val="20"/>
      <w:szCs w:val="20"/>
    </w:rPr>
  </w:style>
  <w:style w:type="paragraph" w:styleId="BalloonText">
    <w:name w:val="Balloon Text"/>
    <w:basedOn w:val="Normal"/>
    <w:link w:val="BalloonTextChar"/>
    <w:uiPriority w:val="99"/>
    <w:semiHidden/>
    <w:rsid w:val="007D7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0D7"/>
    <w:rPr>
      <w:rFonts w:ascii="Tahoma" w:hAnsi="Tahoma" w:cs="Tahoma"/>
      <w:sz w:val="16"/>
      <w:szCs w:val="16"/>
    </w:rPr>
  </w:style>
  <w:style w:type="paragraph" w:styleId="Header">
    <w:name w:val="header"/>
    <w:basedOn w:val="Normal"/>
    <w:link w:val="HeaderChar"/>
    <w:uiPriority w:val="99"/>
    <w:semiHidden/>
    <w:rsid w:val="00E803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80304"/>
    <w:rPr>
      <w:rFonts w:cs="Times New Roman"/>
    </w:rPr>
  </w:style>
  <w:style w:type="paragraph" w:styleId="Footer">
    <w:name w:val="footer"/>
    <w:basedOn w:val="Normal"/>
    <w:link w:val="FooterChar"/>
    <w:uiPriority w:val="99"/>
    <w:semiHidden/>
    <w:rsid w:val="00E803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8030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3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rsid w:val="0021533B"/>
    <w:pPr>
      <w:ind w:left="720"/>
      <w:contextualSpacing/>
    </w:pPr>
  </w:style>
  <w:style w:type="character" w:styleId="CommentReference">
    <w:name w:val="annotation reference"/>
    <w:basedOn w:val="DefaultParagraphFont"/>
    <w:uiPriority w:val="99"/>
    <w:semiHidden/>
    <w:rsid w:val="007D70D7"/>
    <w:rPr>
      <w:rFonts w:cs="Times New Roman"/>
      <w:sz w:val="16"/>
      <w:szCs w:val="16"/>
    </w:rPr>
  </w:style>
  <w:style w:type="paragraph" w:styleId="CommentText">
    <w:name w:val="annotation text"/>
    <w:basedOn w:val="Normal"/>
    <w:link w:val="CommentTextChar"/>
    <w:uiPriority w:val="99"/>
    <w:semiHidden/>
    <w:rsid w:val="007D70D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D70D7"/>
    <w:rPr>
      <w:rFonts w:cs="Times New Roman"/>
      <w:sz w:val="20"/>
      <w:szCs w:val="20"/>
    </w:rPr>
  </w:style>
  <w:style w:type="paragraph" w:styleId="CommentSubject">
    <w:name w:val="annotation subject"/>
    <w:basedOn w:val="CommentText"/>
    <w:next w:val="CommentText"/>
    <w:link w:val="CommentSubjectChar"/>
    <w:uiPriority w:val="99"/>
    <w:semiHidden/>
    <w:rsid w:val="007D70D7"/>
    <w:rPr>
      <w:b/>
      <w:bCs/>
    </w:rPr>
  </w:style>
  <w:style w:type="character" w:customStyle="1" w:styleId="CommentSubjectChar">
    <w:name w:val="Comment Subject Char"/>
    <w:basedOn w:val="CommentTextChar"/>
    <w:link w:val="CommentSubject"/>
    <w:uiPriority w:val="99"/>
    <w:semiHidden/>
    <w:locked/>
    <w:rsid w:val="007D70D7"/>
    <w:rPr>
      <w:rFonts w:cs="Times New Roman"/>
      <w:b/>
      <w:bCs/>
      <w:sz w:val="20"/>
      <w:szCs w:val="20"/>
    </w:rPr>
  </w:style>
  <w:style w:type="paragraph" w:styleId="BalloonText">
    <w:name w:val="Balloon Text"/>
    <w:basedOn w:val="Normal"/>
    <w:link w:val="BalloonTextChar"/>
    <w:uiPriority w:val="99"/>
    <w:semiHidden/>
    <w:rsid w:val="007D7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0D7"/>
    <w:rPr>
      <w:rFonts w:ascii="Tahoma" w:hAnsi="Tahoma" w:cs="Tahoma"/>
      <w:sz w:val="16"/>
      <w:szCs w:val="16"/>
    </w:rPr>
  </w:style>
  <w:style w:type="paragraph" w:styleId="Header">
    <w:name w:val="header"/>
    <w:basedOn w:val="Normal"/>
    <w:link w:val="HeaderChar"/>
    <w:uiPriority w:val="99"/>
    <w:semiHidden/>
    <w:rsid w:val="00E803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80304"/>
    <w:rPr>
      <w:rFonts w:cs="Times New Roman"/>
    </w:rPr>
  </w:style>
  <w:style w:type="paragraph" w:styleId="Footer">
    <w:name w:val="footer"/>
    <w:basedOn w:val="Normal"/>
    <w:link w:val="FooterChar"/>
    <w:uiPriority w:val="99"/>
    <w:semiHidden/>
    <w:rsid w:val="00E803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803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特區提袋規定摘要 </vt:lpstr>
    </vt:vector>
  </TitlesOfParts>
  <Company>DC Government</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特區提袋規定摘要</dc:title>
  <dc:creator>DC User</dc:creator>
  <cp:lastModifiedBy>Alison McCarthy</cp:lastModifiedBy>
  <cp:revision>2</cp:revision>
  <dcterms:created xsi:type="dcterms:W3CDTF">2012-06-19T17:36:00Z</dcterms:created>
  <dcterms:modified xsi:type="dcterms:W3CDTF">2012-06-19T17:36:00Z</dcterms:modified>
</cp:coreProperties>
</file>