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32" w:rsidRPr="00B32EDF" w:rsidRDefault="00707EC8" w:rsidP="00B37632">
      <w:pPr>
        <w:pStyle w:val="xmsonormal"/>
        <w:spacing w:before="0" w:beforeAutospacing="0" w:after="0" w:afterAutospacing="0"/>
        <w:jc w:val="center"/>
        <w:rPr>
          <w:rFonts w:asciiTheme="majorHAnsi" w:hAnsiTheme="majorHAnsi" w:cs="Calibri"/>
          <w:color w:val="000000"/>
        </w:rPr>
      </w:pPr>
      <w:bookmarkStart w:id="0" w:name="_GoBack"/>
      <w:bookmarkEnd w:id="0"/>
      <w:r w:rsidRPr="00B32EDF">
        <w:rPr>
          <w:rFonts w:asciiTheme="majorHAnsi" w:hAnsiTheme="majorHAnsi" w:cs="Calibri"/>
          <w:noProof/>
        </w:rPr>
        <w:drawing>
          <wp:inline distT="0" distB="0" distL="0" distR="0">
            <wp:extent cx="1157513" cy="771525"/>
            <wp:effectExtent l="0" t="0" r="5080" b="0"/>
            <wp:docPr id="2" name="Picture 2" descr="C:\Users\donna.henry\Desktop\DDOE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henry\Desktop\DDOElogo(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687" cy="777640"/>
                    </a:xfrm>
                    <a:prstGeom prst="rect">
                      <a:avLst/>
                    </a:prstGeom>
                    <a:noFill/>
                    <a:ln>
                      <a:noFill/>
                    </a:ln>
                  </pic:spPr>
                </pic:pic>
              </a:graphicData>
            </a:graphic>
          </wp:inline>
        </w:drawing>
      </w:r>
    </w:p>
    <w:p w:rsidR="00B37632" w:rsidRPr="00B32EDF" w:rsidRDefault="00B37632" w:rsidP="00B37632">
      <w:pPr>
        <w:pStyle w:val="xdefault"/>
        <w:spacing w:before="0" w:beforeAutospacing="0" w:after="0" w:afterAutospacing="0"/>
        <w:jc w:val="center"/>
        <w:rPr>
          <w:rFonts w:asciiTheme="majorHAnsi" w:hAnsiTheme="majorHAnsi" w:cs="Calibri"/>
          <w:color w:val="000000"/>
        </w:rPr>
      </w:pPr>
      <w:r w:rsidRPr="00B32EDF">
        <w:rPr>
          <w:rFonts w:asciiTheme="majorHAnsi" w:hAnsiTheme="majorHAnsi" w:cs="Calibri"/>
          <w:color w:val="000000"/>
        </w:rPr>
        <w:t> </w:t>
      </w:r>
    </w:p>
    <w:p w:rsidR="00615CD1" w:rsidRPr="00DE2910" w:rsidRDefault="0099687E" w:rsidP="00615CD1">
      <w:pPr>
        <w:jc w:val="center"/>
        <w:rPr>
          <w:rFonts w:ascii="Times New Roman" w:hAnsi="Times New Roman" w:cs="Times New Roman"/>
          <w:b/>
          <w:sz w:val="23"/>
          <w:szCs w:val="23"/>
        </w:rPr>
      </w:pPr>
      <w:r w:rsidRPr="00DE2910">
        <w:rPr>
          <w:rFonts w:ascii="Times New Roman" w:hAnsi="Times New Roman" w:cs="Times New Roman"/>
          <w:b/>
          <w:sz w:val="23"/>
          <w:szCs w:val="23"/>
        </w:rPr>
        <w:t>Final Rule on Stormwater Management and Soil Erosion and Sediment Control</w:t>
      </w:r>
    </w:p>
    <w:p w:rsidR="00615CD1" w:rsidRPr="00DE2910" w:rsidRDefault="0099687E" w:rsidP="00615CD1">
      <w:pPr>
        <w:jc w:val="center"/>
        <w:rPr>
          <w:rFonts w:ascii="Times New Roman" w:hAnsi="Times New Roman" w:cs="Times New Roman"/>
          <w:sz w:val="23"/>
          <w:szCs w:val="23"/>
        </w:rPr>
      </w:pPr>
      <w:r w:rsidRPr="00DE2910">
        <w:rPr>
          <w:rFonts w:ascii="Times New Roman" w:hAnsi="Times New Roman" w:cs="Times New Roman"/>
          <w:sz w:val="23"/>
          <w:szCs w:val="23"/>
        </w:rPr>
        <w:t>Fact Sheet</w:t>
      </w:r>
    </w:p>
    <w:p w:rsidR="0099687E" w:rsidRPr="00DE2910" w:rsidRDefault="0099687E" w:rsidP="00D30D4C">
      <w:pPr>
        <w:rPr>
          <w:rFonts w:ascii="Times New Roman" w:hAnsi="Times New Roman" w:cs="Times New Roman"/>
          <w:sz w:val="23"/>
          <w:szCs w:val="23"/>
        </w:rPr>
      </w:pPr>
    </w:p>
    <w:p w:rsidR="00237DC1" w:rsidRPr="00DE2910" w:rsidRDefault="0099687E" w:rsidP="00D30D4C">
      <w:pPr>
        <w:rPr>
          <w:rFonts w:ascii="Times New Roman" w:hAnsi="Times New Roman" w:cs="Times New Roman"/>
          <w:sz w:val="23"/>
          <w:szCs w:val="23"/>
        </w:rPr>
      </w:pPr>
      <w:r w:rsidRPr="00DE2910">
        <w:rPr>
          <w:rFonts w:ascii="Times New Roman" w:hAnsi="Times New Roman" w:cs="Times New Roman"/>
          <w:sz w:val="23"/>
          <w:szCs w:val="23"/>
        </w:rPr>
        <w:t>On Friday, July 19, 2013, the District Department of the Environment (DDOE) finalizes its Rule on Stormwater Management and Soil Erosion and Sediment Control</w:t>
      </w:r>
      <w:r w:rsidR="00173E8D" w:rsidRPr="00DE2910">
        <w:rPr>
          <w:rFonts w:ascii="Times New Roman" w:hAnsi="Times New Roman" w:cs="Times New Roman"/>
          <w:sz w:val="23"/>
          <w:szCs w:val="23"/>
        </w:rPr>
        <w:t xml:space="preserve"> and its Stormwater Management Guidebook (SWMG), which provides technical guidance on complying with the Final Rule</w:t>
      </w:r>
      <w:r w:rsidRPr="00DE2910">
        <w:rPr>
          <w:rFonts w:ascii="Times New Roman" w:hAnsi="Times New Roman" w:cs="Times New Roman"/>
          <w:sz w:val="23"/>
          <w:szCs w:val="23"/>
        </w:rPr>
        <w:t>.  Below is a brief summary of key poin</w:t>
      </w:r>
      <w:r w:rsidR="00173E8D" w:rsidRPr="00DE2910">
        <w:rPr>
          <w:rFonts w:ascii="Times New Roman" w:hAnsi="Times New Roman" w:cs="Times New Roman"/>
          <w:sz w:val="23"/>
          <w:szCs w:val="23"/>
        </w:rPr>
        <w:t>ts</w:t>
      </w:r>
      <w:r w:rsidR="00222D0A" w:rsidRPr="00DE2910">
        <w:rPr>
          <w:rFonts w:ascii="Times New Roman" w:hAnsi="Times New Roman" w:cs="Times New Roman"/>
          <w:sz w:val="23"/>
          <w:szCs w:val="23"/>
        </w:rPr>
        <w:t>, organized under the following topics:</w:t>
      </w:r>
    </w:p>
    <w:p w:rsidR="00222D0A" w:rsidRPr="00DE2910" w:rsidRDefault="00222D0A" w:rsidP="00E65FD5">
      <w:pPr>
        <w:pStyle w:val="ListParagraph"/>
        <w:numPr>
          <w:ilvl w:val="0"/>
          <w:numId w:val="8"/>
        </w:numPr>
        <w:ind w:left="360"/>
        <w:rPr>
          <w:rFonts w:ascii="Times New Roman" w:hAnsi="Times New Roman" w:cs="Times New Roman"/>
          <w:sz w:val="23"/>
          <w:szCs w:val="23"/>
        </w:rPr>
      </w:pPr>
      <w:r w:rsidRPr="00DE2910">
        <w:rPr>
          <w:rFonts w:ascii="Times New Roman" w:hAnsi="Times New Roman" w:cs="Times New Roman"/>
          <w:sz w:val="23"/>
          <w:szCs w:val="23"/>
        </w:rPr>
        <w:t>Background and Purpose</w:t>
      </w:r>
    </w:p>
    <w:p w:rsidR="00222D0A" w:rsidRPr="00DE2910" w:rsidRDefault="00222D0A" w:rsidP="00E65FD5">
      <w:pPr>
        <w:pStyle w:val="ListParagraph"/>
        <w:numPr>
          <w:ilvl w:val="0"/>
          <w:numId w:val="8"/>
        </w:numPr>
        <w:ind w:left="360"/>
        <w:rPr>
          <w:rFonts w:ascii="Times New Roman" w:hAnsi="Times New Roman" w:cs="Times New Roman"/>
          <w:sz w:val="23"/>
          <w:szCs w:val="23"/>
        </w:rPr>
      </w:pPr>
      <w:r w:rsidRPr="00DE2910">
        <w:rPr>
          <w:rFonts w:ascii="Times New Roman" w:hAnsi="Times New Roman" w:cs="Times New Roman"/>
          <w:sz w:val="23"/>
          <w:szCs w:val="23"/>
        </w:rPr>
        <w:t>New Stormwater Retention Performance Standards</w:t>
      </w:r>
    </w:p>
    <w:p w:rsidR="00222D0A" w:rsidRPr="00DE2910" w:rsidRDefault="00E65FD5" w:rsidP="00E65FD5">
      <w:pPr>
        <w:pStyle w:val="ListParagraph"/>
        <w:numPr>
          <w:ilvl w:val="0"/>
          <w:numId w:val="8"/>
        </w:numPr>
        <w:ind w:left="360"/>
        <w:rPr>
          <w:rFonts w:ascii="Times New Roman" w:hAnsi="Times New Roman" w:cs="Times New Roman"/>
          <w:sz w:val="23"/>
          <w:szCs w:val="23"/>
        </w:rPr>
      </w:pPr>
      <w:r w:rsidRPr="00DE2910">
        <w:rPr>
          <w:rFonts w:ascii="Times New Roman" w:hAnsi="Times New Roman" w:cs="Times New Roman"/>
          <w:sz w:val="23"/>
          <w:szCs w:val="23"/>
        </w:rPr>
        <w:t>Public Process Leading to Final Rulemaking</w:t>
      </w:r>
    </w:p>
    <w:p w:rsidR="00E65FD5" w:rsidRPr="00DE2910" w:rsidRDefault="00E65FD5" w:rsidP="00E65FD5">
      <w:pPr>
        <w:pStyle w:val="ListParagraph"/>
        <w:numPr>
          <w:ilvl w:val="0"/>
          <w:numId w:val="8"/>
        </w:numPr>
        <w:ind w:left="360"/>
        <w:rPr>
          <w:rFonts w:ascii="Times New Roman" w:hAnsi="Times New Roman" w:cs="Times New Roman"/>
          <w:sz w:val="23"/>
          <w:szCs w:val="23"/>
        </w:rPr>
      </w:pPr>
      <w:r w:rsidRPr="00DE2910">
        <w:rPr>
          <w:rFonts w:ascii="Times New Roman" w:hAnsi="Times New Roman" w:cs="Times New Roman"/>
          <w:sz w:val="23"/>
          <w:szCs w:val="23"/>
        </w:rPr>
        <w:t>Transi</w:t>
      </w:r>
      <w:r w:rsidR="00A65D9E" w:rsidRPr="00DE2910">
        <w:rPr>
          <w:rFonts w:ascii="Times New Roman" w:hAnsi="Times New Roman" w:cs="Times New Roman"/>
          <w:sz w:val="23"/>
          <w:szCs w:val="23"/>
        </w:rPr>
        <w:t>tion to New Stormwater</w:t>
      </w:r>
      <w:r w:rsidRPr="00DE2910">
        <w:rPr>
          <w:rFonts w:ascii="Times New Roman" w:hAnsi="Times New Roman" w:cs="Times New Roman"/>
          <w:sz w:val="23"/>
          <w:szCs w:val="23"/>
        </w:rPr>
        <w:t xml:space="preserve"> Perfor</w:t>
      </w:r>
      <w:r w:rsidR="00A65D9E" w:rsidRPr="00DE2910">
        <w:rPr>
          <w:rFonts w:ascii="Times New Roman" w:hAnsi="Times New Roman" w:cs="Times New Roman"/>
          <w:sz w:val="23"/>
          <w:szCs w:val="23"/>
        </w:rPr>
        <w:t>mance Requirements</w:t>
      </w:r>
    </w:p>
    <w:p w:rsidR="00237DC1" w:rsidRPr="00DE2910" w:rsidRDefault="00237DC1" w:rsidP="00D30D4C">
      <w:pPr>
        <w:rPr>
          <w:rFonts w:ascii="Times New Roman" w:hAnsi="Times New Roman" w:cs="Times New Roman"/>
          <w:sz w:val="23"/>
          <w:szCs w:val="23"/>
        </w:rPr>
      </w:pPr>
    </w:p>
    <w:p w:rsidR="00173E8D" w:rsidRPr="00DE2910" w:rsidRDefault="00173E8D" w:rsidP="00D30D4C">
      <w:pPr>
        <w:rPr>
          <w:rFonts w:ascii="Times New Roman" w:hAnsi="Times New Roman" w:cs="Times New Roman"/>
          <w:sz w:val="23"/>
          <w:szCs w:val="23"/>
        </w:rPr>
      </w:pPr>
      <w:r w:rsidRPr="00DE2910">
        <w:rPr>
          <w:rFonts w:ascii="Times New Roman" w:hAnsi="Times New Roman" w:cs="Times New Roman"/>
          <w:sz w:val="23"/>
          <w:szCs w:val="23"/>
        </w:rPr>
        <w:t xml:space="preserve">Additional information is available via </w:t>
      </w:r>
      <w:r w:rsidRPr="00DE2910">
        <w:rPr>
          <w:rFonts w:ascii="Times New Roman" w:hAnsi="Times New Roman" w:cs="Times New Roman"/>
          <w:color w:val="0000FF"/>
          <w:sz w:val="23"/>
          <w:szCs w:val="23"/>
          <w:u w:val="single"/>
        </w:rPr>
        <w:t>ddoe.dc.gov/swregs</w:t>
      </w:r>
      <w:r w:rsidRPr="00DE2910">
        <w:rPr>
          <w:rFonts w:ascii="Times New Roman" w:hAnsi="Times New Roman" w:cs="Times New Roman"/>
          <w:sz w:val="23"/>
          <w:szCs w:val="23"/>
        </w:rPr>
        <w:t>, including earlier versions of the rule and SWMG, public comments on those documents, DDOE’s responses to those comments, and related resources.</w:t>
      </w:r>
    </w:p>
    <w:p w:rsidR="00173E8D" w:rsidRPr="00DE2910" w:rsidRDefault="00173E8D" w:rsidP="00D30D4C">
      <w:pPr>
        <w:rPr>
          <w:rFonts w:ascii="Times New Roman" w:hAnsi="Times New Roman" w:cs="Times New Roman"/>
          <w:sz w:val="23"/>
          <w:szCs w:val="23"/>
        </w:rPr>
      </w:pPr>
    </w:p>
    <w:p w:rsidR="0099687E" w:rsidRPr="00DE2910" w:rsidRDefault="00237DC1" w:rsidP="00A65D9E">
      <w:pPr>
        <w:jc w:val="center"/>
        <w:rPr>
          <w:rFonts w:ascii="Times New Roman" w:hAnsi="Times New Roman" w:cs="Times New Roman"/>
          <w:b/>
          <w:sz w:val="23"/>
          <w:szCs w:val="23"/>
        </w:rPr>
      </w:pPr>
      <w:r w:rsidRPr="00DE2910">
        <w:rPr>
          <w:rFonts w:ascii="Times New Roman" w:hAnsi="Times New Roman" w:cs="Times New Roman"/>
          <w:b/>
          <w:sz w:val="23"/>
          <w:szCs w:val="23"/>
        </w:rPr>
        <w:t>Background and Purpose</w:t>
      </w:r>
    </w:p>
    <w:p w:rsidR="00563957" w:rsidRPr="00DE2910" w:rsidRDefault="00563957" w:rsidP="00D30D4C">
      <w:pPr>
        <w:rPr>
          <w:rFonts w:ascii="Times New Roman" w:hAnsi="Times New Roman" w:cs="Times New Roman"/>
          <w:sz w:val="23"/>
          <w:szCs w:val="23"/>
        </w:rPr>
      </w:pPr>
    </w:p>
    <w:p w:rsidR="00563957" w:rsidRPr="00DE2910" w:rsidRDefault="00563957" w:rsidP="00D30D4C">
      <w:pPr>
        <w:rPr>
          <w:rFonts w:ascii="Times New Roman" w:hAnsi="Times New Roman" w:cs="Times New Roman"/>
          <w:sz w:val="23"/>
          <w:szCs w:val="23"/>
        </w:rPr>
      </w:pPr>
      <w:r w:rsidRPr="00DE2910">
        <w:rPr>
          <w:rFonts w:ascii="Times New Roman" w:hAnsi="Times New Roman" w:cs="Times New Roman"/>
          <w:sz w:val="23"/>
          <w:szCs w:val="23"/>
        </w:rPr>
        <w:t xml:space="preserve">The Final Rule </w:t>
      </w:r>
      <w:r w:rsidR="00DE2910" w:rsidRPr="00DE2910">
        <w:rPr>
          <w:rFonts w:ascii="Times New Roman" w:hAnsi="Times New Roman" w:cs="Times New Roman"/>
          <w:sz w:val="23"/>
          <w:szCs w:val="23"/>
        </w:rPr>
        <w:t>and Final SWMG</w:t>
      </w:r>
      <w:r w:rsidR="001D6D6F" w:rsidRPr="00DE2910">
        <w:rPr>
          <w:rFonts w:ascii="Times New Roman" w:hAnsi="Times New Roman" w:cs="Times New Roman"/>
          <w:sz w:val="23"/>
          <w:szCs w:val="23"/>
        </w:rPr>
        <w:t xml:space="preserve"> </w:t>
      </w:r>
      <w:r w:rsidRPr="00DE2910">
        <w:rPr>
          <w:rFonts w:ascii="Times New Roman" w:hAnsi="Times New Roman" w:cs="Times New Roman"/>
          <w:sz w:val="23"/>
          <w:szCs w:val="23"/>
        </w:rPr>
        <w:t>will accomplish the following:</w:t>
      </w:r>
    </w:p>
    <w:p w:rsidR="00563957" w:rsidRPr="00DE2910" w:rsidRDefault="00563957" w:rsidP="00D30D4C">
      <w:pPr>
        <w:pStyle w:val="ListParagraph"/>
        <w:numPr>
          <w:ilvl w:val="0"/>
          <w:numId w:val="1"/>
        </w:numPr>
        <w:ind w:left="360"/>
        <w:rPr>
          <w:rFonts w:ascii="Times New Roman" w:hAnsi="Times New Roman" w:cs="Times New Roman"/>
          <w:color w:val="000000" w:themeColor="text1"/>
          <w:sz w:val="23"/>
          <w:szCs w:val="23"/>
        </w:rPr>
      </w:pPr>
      <w:r w:rsidRPr="00DE2910">
        <w:rPr>
          <w:rFonts w:ascii="Times New Roman" w:hAnsi="Times New Roman" w:cs="Times New Roman"/>
          <w:color w:val="000000" w:themeColor="text1"/>
          <w:sz w:val="23"/>
          <w:szCs w:val="23"/>
        </w:rPr>
        <w:t xml:space="preserve">Significantly reduce stormwater pollution flowing into the Anacostia and Potomac Rivers, Rock Creek, and other District waterbodies by requiring large construction projects to install and maintain green roofs, rain gardens, permeable pavement, and other Green Infrastructure (GI) practices to reduce stormwater runoff. Stormwater runoff erodes District stream banks and carries trash, oil, pet waste, and other pollutants into District waterbodies and downstream to the Potomac River and Chesapeake Bay. </w:t>
      </w:r>
    </w:p>
    <w:p w:rsidR="00D30D4C" w:rsidRPr="00DE2910" w:rsidRDefault="008D2791" w:rsidP="00D30D4C">
      <w:pPr>
        <w:pStyle w:val="ListParagraph"/>
        <w:numPr>
          <w:ilvl w:val="0"/>
          <w:numId w:val="1"/>
        </w:numPr>
        <w:ind w:left="360"/>
        <w:rPr>
          <w:rFonts w:ascii="Times New Roman" w:hAnsi="Times New Roman" w:cs="Times New Roman"/>
          <w:sz w:val="23"/>
          <w:szCs w:val="23"/>
        </w:rPr>
      </w:pPr>
      <w:r w:rsidRPr="00DE2910">
        <w:rPr>
          <w:rFonts w:ascii="Times New Roman" w:hAnsi="Times New Roman" w:cs="Times New Roman"/>
          <w:sz w:val="23"/>
          <w:szCs w:val="23"/>
        </w:rPr>
        <w:t>R</w:t>
      </w:r>
      <w:r w:rsidR="00D30D4C" w:rsidRPr="00DE2910">
        <w:rPr>
          <w:rFonts w:ascii="Times New Roman" w:hAnsi="Times New Roman" w:cs="Times New Roman"/>
          <w:sz w:val="23"/>
          <w:szCs w:val="23"/>
        </w:rPr>
        <w:t xml:space="preserve">etrofit existing rooftops, parking lots, and other “impervious” surfaces with GI practices that will reduce stormwater runoff.  Approximately 43% of the District’s land area is composed of impervious surfaces, and DDOE expects that about 1% of the District’s land area will undergo construction that triggers these regulations in a typical year.  </w:t>
      </w:r>
      <w:r w:rsidRPr="00DE2910">
        <w:rPr>
          <w:rFonts w:ascii="Times New Roman" w:hAnsi="Times New Roman" w:cs="Times New Roman"/>
          <w:sz w:val="23"/>
          <w:szCs w:val="23"/>
        </w:rPr>
        <w:t>Under these new regulations, DDOE expects that regulated development will be the biggest driver of the installation of stormwater G</w:t>
      </w:r>
      <w:r w:rsidRPr="00DE2910">
        <w:rPr>
          <w:rFonts w:ascii="Times New Roman" w:hAnsi="Times New Roman" w:cs="Times New Roman"/>
          <w:color w:val="000000" w:themeColor="text1"/>
          <w:sz w:val="23"/>
          <w:szCs w:val="23"/>
        </w:rPr>
        <w:t xml:space="preserve">I retrofits in the District.  </w:t>
      </w:r>
      <w:r w:rsidR="00D30D4C" w:rsidRPr="00DE2910">
        <w:rPr>
          <w:rFonts w:ascii="Times New Roman" w:hAnsi="Times New Roman" w:cs="Times New Roman"/>
          <w:color w:val="000000" w:themeColor="text1"/>
          <w:sz w:val="23"/>
          <w:szCs w:val="23"/>
        </w:rPr>
        <w:t>Over time, this will make the District “spongier,” allowing it to better mimic how the vegetated natural environment captures rainwater and soaks it into the soil.</w:t>
      </w:r>
    </w:p>
    <w:p w:rsidR="008D2791" w:rsidRPr="00DE2910" w:rsidRDefault="008D2791" w:rsidP="008D2791">
      <w:pPr>
        <w:pStyle w:val="ListParagraph"/>
        <w:numPr>
          <w:ilvl w:val="0"/>
          <w:numId w:val="1"/>
        </w:numPr>
        <w:ind w:left="360"/>
        <w:rPr>
          <w:rFonts w:ascii="Times New Roman" w:hAnsi="Times New Roman" w:cs="Times New Roman"/>
          <w:sz w:val="23"/>
          <w:szCs w:val="23"/>
        </w:rPr>
      </w:pPr>
      <w:r w:rsidRPr="00DE2910">
        <w:rPr>
          <w:rFonts w:ascii="Times New Roman" w:hAnsi="Times New Roman" w:cs="Times New Roman"/>
          <w:sz w:val="23"/>
          <w:szCs w:val="23"/>
        </w:rPr>
        <w:t>Gradually improve the health of District waterbodies, making them more usable and attractive for residents, businesses, and visitors.  This is critical to achieving Mayor Gray’s Sustainable DC goal of making 100% of District waterbodies fishable and swimmable by 2032.</w:t>
      </w:r>
    </w:p>
    <w:p w:rsidR="00D30D4C" w:rsidRPr="00DE2910" w:rsidRDefault="00563957" w:rsidP="00D30D4C">
      <w:pPr>
        <w:pStyle w:val="ListParagraph"/>
        <w:numPr>
          <w:ilvl w:val="0"/>
          <w:numId w:val="1"/>
        </w:numPr>
        <w:ind w:left="360"/>
        <w:rPr>
          <w:rFonts w:ascii="Times New Roman" w:hAnsi="Times New Roman" w:cs="Times New Roman"/>
          <w:sz w:val="23"/>
          <w:szCs w:val="23"/>
        </w:rPr>
      </w:pPr>
      <w:r w:rsidRPr="00DE2910">
        <w:rPr>
          <w:rFonts w:ascii="Times New Roman" w:eastAsia="Times New Roman" w:hAnsi="Times New Roman" w:cs="Times New Roman"/>
          <w:color w:val="000000"/>
          <w:sz w:val="23"/>
          <w:szCs w:val="23"/>
        </w:rPr>
        <w:t>U</w:t>
      </w:r>
      <w:r w:rsidR="00237DC1" w:rsidRPr="00DE2910">
        <w:rPr>
          <w:rFonts w:ascii="Times New Roman" w:hAnsi="Times New Roman" w:cs="Times New Roman"/>
          <w:sz w:val="23"/>
          <w:szCs w:val="23"/>
        </w:rPr>
        <w:t>pdate</w:t>
      </w:r>
      <w:r w:rsidRPr="00DE2910">
        <w:rPr>
          <w:rFonts w:ascii="Times New Roman" w:hAnsi="Times New Roman" w:cs="Times New Roman"/>
          <w:sz w:val="23"/>
          <w:szCs w:val="23"/>
        </w:rPr>
        <w:t xml:space="preserve"> the District’s existing requirements in </w:t>
      </w:r>
      <w:r w:rsidR="00237DC1" w:rsidRPr="00DE2910">
        <w:rPr>
          <w:rFonts w:ascii="Times New Roman" w:hAnsi="Times New Roman" w:cs="Times New Roman"/>
          <w:sz w:val="23"/>
          <w:szCs w:val="23"/>
        </w:rPr>
        <w:t>Chapter 5 of Title 21 of the District of Columbia Municipal Regulations (DCMR) to reflect the current scientific, engineering, and practical understanding in the fields of stormwater management and soil erosion and sediment control.  Knowledge and technology in these fields have changed considerably since 1977, when the majority of the soil erosion and sediment control requirements were put into place, and since 1988, when the District’s existing stormwater management requirements were established.</w:t>
      </w:r>
      <w:r w:rsidRPr="00DE2910">
        <w:rPr>
          <w:rFonts w:ascii="Times New Roman" w:hAnsi="Times New Roman" w:cs="Times New Roman"/>
          <w:sz w:val="23"/>
          <w:szCs w:val="23"/>
        </w:rPr>
        <w:t xml:space="preserve">  </w:t>
      </w:r>
    </w:p>
    <w:p w:rsidR="008D2791" w:rsidRPr="00DE2910" w:rsidRDefault="008D2791" w:rsidP="008D2791">
      <w:pPr>
        <w:pStyle w:val="ListParagraph"/>
        <w:numPr>
          <w:ilvl w:val="0"/>
          <w:numId w:val="1"/>
        </w:numPr>
        <w:ind w:left="360"/>
        <w:jc w:val="both"/>
        <w:rPr>
          <w:rFonts w:ascii="Times New Roman" w:hAnsi="Times New Roman" w:cs="Times New Roman"/>
          <w:sz w:val="23"/>
          <w:szCs w:val="23"/>
        </w:rPr>
      </w:pPr>
      <w:r w:rsidRPr="00DE2910">
        <w:rPr>
          <w:rFonts w:ascii="Times New Roman" w:eastAsia="Times New Roman" w:hAnsi="Times New Roman" w:cs="Times New Roman"/>
          <w:color w:val="000000"/>
          <w:sz w:val="23"/>
          <w:szCs w:val="23"/>
        </w:rPr>
        <w:lastRenderedPageBreak/>
        <w:t xml:space="preserve">Establish </w:t>
      </w:r>
      <w:r w:rsidRPr="00DE2910">
        <w:rPr>
          <w:rFonts w:ascii="Times New Roman" w:hAnsi="Times New Roman" w:cs="Times New Roman"/>
          <w:sz w:val="23"/>
          <w:szCs w:val="23"/>
        </w:rPr>
        <w:t>an innovative Stormwater Retention Credit (SRC) trading program, which is the first of its kind in the nation and has the potential to increase the new standards’ benefit to District waterbodies while reducing the cost of compliance and providing other sustainability benefits.</w:t>
      </w:r>
    </w:p>
    <w:p w:rsidR="008D2791" w:rsidRPr="00DE2910" w:rsidRDefault="008D2791" w:rsidP="008D2791">
      <w:pPr>
        <w:pStyle w:val="ListParagraph"/>
        <w:numPr>
          <w:ilvl w:val="0"/>
          <w:numId w:val="1"/>
        </w:numPr>
        <w:ind w:left="360"/>
        <w:jc w:val="both"/>
        <w:rPr>
          <w:rFonts w:ascii="Times New Roman" w:hAnsi="Times New Roman" w:cs="Times New Roman"/>
          <w:sz w:val="23"/>
          <w:szCs w:val="23"/>
        </w:rPr>
      </w:pPr>
      <w:r w:rsidRPr="00DE2910">
        <w:rPr>
          <w:rFonts w:ascii="Times New Roman" w:hAnsi="Times New Roman" w:cs="Times New Roman"/>
          <w:sz w:val="23"/>
          <w:szCs w:val="23"/>
        </w:rPr>
        <w:t>Create a financial incentive and business opportunity for voluntary installation of stormwater retrofits to earn SRCs that can be sold to regulated sites to meet part of their requirements.</w:t>
      </w:r>
    </w:p>
    <w:p w:rsidR="00D30D4C" w:rsidRPr="00DE2910" w:rsidRDefault="00D30D4C" w:rsidP="00237DC1">
      <w:pPr>
        <w:pStyle w:val="ListParagraph"/>
        <w:numPr>
          <w:ilvl w:val="0"/>
          <w:numId w:val="1"/>
        </w:numPr>
        <w:ind w:left="360"/>
        <w:jc w:val="both"/>
        <w:rPr>
          <w:rFonts w:ascii="Times New Roman" w:hAnsi="Times New Roman" w:cs="Times New Roman"/>
          <w:sz w:val="23"/>
          <w:szCs w:val="23"/>
        </w:rPr>
      </w:pPr>
      <w:r w:rsidRPr="00DE2910">
        <w:rPr>
          <w:rFonts w:ascii="Times New Roman" w:eastAsia="Times New Roman" w:hAnsi="Times New Roman" w:cs="Times New Roman"/>
          <w:color w:val="000000"/>
          <w:sz w:val="23"/>
          <w:szCs w:val="23"/>
        </w:rPr>
        <w:t>Achieve federal requirements in the Municipal Separate Storm Sewer System (MS4) permit issued to the District by Region III of the Environmental Protection Agency (EPA).</w:t>
      </w:r>
    </w:p>
    <w:p w:rsidR="00237DC1" w:rsidRPr="00DE2910" w:rsidRDefault="00237DC1" w:rsidP="008D2791">
      <w:pPr>
        <w:rPr>
          <w:rFonts w:ascii="Times New Roman" w:eastAsia="Times New Roman" w:hAnsi="Times New Roman" w:cs="Times New Roman"/>
          <w:color w:val="000000"/>
          <w:sz w:val="23"/>
          <w:szCs w:val="23"/>
        </w:rPr>
      </w:pPr>
    </w:p>
    <w:p w:rsidR="008D2791" w:rsidRPr="00DE2910" w:rsidRDefault="008D2791" w:rsidP="00A65D9E">
      <w:pPr>
        <w:jc w:val="center"/>
        <w:rPr>
          <w:rFonts w:ascii="Times New Roman" w:eastAsia="Times New Roman" w:hAnsi="Times New Roman" w:cs="Times New Roman"/>
          <w:b/>
          <w:color w:val="000000"/>
          <w:sz w:val="23"/>
          <w:szCs w:val="23"/>
        </w:rPr>
      </w:pPr>
      <w:r w:rsidRPr="00DE2910">
        <w:rPr>
          <w:rFonts w:ascii="Times New Roman" w:eastAsia="Times New Roman" w:hAnsi="Times New Roman" w:cs="Times New Roman"/>
          <w:b/>
          <w:color w:val="000000"/>
          <w:sz w:val="23"/>
          <w:szCs w:val="23"/>
        </w:rPr>
        <w:t>New Stormwater Retention Performance Standards</w:t>
      </w:r>
    </w:p>
    <w:p w:rsidR="00A65D9E" w:rsidRPr="00DE2910" w:rsidRDefault="00A65D9E" w:rsidP="008D2791">
      <w:pPr>
        <w:rPr>
          <w:rFonts w:ascii="Times New Roman" w:eastAsia="Times New Roman" w:hAnsi="Times New Roman" w:cs="Times New Roman"/>
          <w:b/>
          <w:color w:val="000000"/>
          <w:sz w:val="23"/>
          <w:szCs w:val="23"/>
        </w:rPr>
      </w:pPr>
    </w:p>
    <w:p w:rsidR="00CB1BDC" w:rsidRPr="00DE2910" w:rsidRDefault="00CB1BDC" w:rsidP="008D2791">
      <w:pPr>
        <w:pStyle w:val="ListParagraph"/>
        <w:numPr>
          <w:ilvl w:val="0"/>
          <w:numId w:val="1"/>
        </w:numPr>
        <w:ind w:left="360"/>
        <w:rPr>
          <w:rFonts w:ascii="Times New Roman" w:eastAsia="Times New Roman" w:hAnsi="Times New Roman" w:cs="Times New Roman"/>
          <w:color w:val="000000"/>
          <w:sz w:val="23"/>
          <w:szCs w:val="23"/>
        </w:rPr>
      </w:pPr>
      <w:r w:rsidRPr="00DE2910">
        <w:rPr>
          <w:rFonts w:ascii="Times New Roman" w:hAnsi="Times New Roman" w:cs="Times New Roman"/>
          <w:sz w:val="23"/>
          <w:szCs w:val="23"/>
        </w:rPr>
        <w:t>Stormwater retention performance standards will be triggered by two different categories of projects:</w:t>
      </w:r>
    </w:p>
    <w:p w:rsidR="00237DC1" w:rsidRPr="00DE2910" w:rsidRDefault="008D2791" w:rsidP="00C05CB1">
      <w:pPr>
        <w:pStyle w:val="ListParagraph"/>
        <w:numPr>
          <w:ilvl w:val="0"/>
          <w:numId w:val="4"/>
        </w:numPr>
        <w:ind w:left="720"/>
        <w:rPr>
          <w:rFonts w:ascii="Times New Roman" w:eastAsia="Times New Roman" w:hAnsi="Times New Roman" w:cs="Times New Roman"/>
          <w:color w:val="000000"/>
          <w:sz w:val="23"/>
          <w:szCs w:val="23"/>
        </w:rPr>
      </w:pPr>
      <w:r w:rsidRPr="00DE2910">
        <w:rPr>
          <w:rFonts w:ascii="Times New Roman" w:hAnsi="Times New Roman" w:cs="Times New Roman"/>
          <w:sz w:val="23"/>
          <w:szCs w:val="23"/>
        </w:rPr>
        <w:t>Sites that disturb 5,000 square feet (SF) or more of land will be required to retain the stormwater from a 1.2 inch storm</w:t>
      </w:r>
      <w:r w:rsidR="00CB1BDC" w:rsidRPr="00DE2910">
        <w:rPr>
          <w:rFonts w:ascii="Times New Roman" w:hAnsi="Times New Roman" w:cs="Times New Roman"/>
          <w:sz w:val="23"/>
          <w:szCs w:val="23"/>
        </w:rPr>
        <w:t>, either on site or through a combination of on-site and off-site retention.  The disturbance of 5,000 SF of land has been the trigger under the stormwater management regulations established in 1988.</w:t>
      </w:r>
      <w:r w:rsidR="00015EE0" w:rsidRPr="00DE2910">
        <w:rPr>
          <w:rFonts w:ascii="Times New Roman" w:hAnsi="Times New Roman" w:cs="Times New Roman"/>
          <w:sz w:val="23"/>
          <w:szCs w:val="23"/>
        </w:rPr>
        <w:t xml:space="preserve">  These projects are referred to as major land-disturbing activities.</w:t>
      </w:r>
    </w:p>
    <w:p w:rsidR="008D2791" w:rsidRPr="00DE2910" w:rsidRDefault="00CB1BDC" w:rsidP="00C05CB1">
      <w:pPr>
        <w:pStyle w:val="ListParagraph"/>
        <w:numPr>
          <w:ilvl w:val="0"/>
          <w:numId w:val="4"/>
        </w:numPr>
        <w:ind w:left="720"/>
        <w:rPr>
          <w:rFonts w:ascii="Times New Roman" w:hAnsi="Times New Roman" w:cs="Times New Roman"/>
          <w:sz w:val="23"/>
          <w:szCs w:val="23"/>
        </w:rPr>
      </w:pPr>
      <w:r w:rsidRPr="00DE2910">
        <w:rPr>
          <w:rFonts w:ascii="Times New Roman" w:hAnsi="Times New Roman" w:cs="Times New Roman"/>
          <w:sz w:val="23"/>
          <w:szCs w:val="23"/>
        </w:rPr>
        <w:t>M</w:t>
      </w:r>
      <w:r w:rsidR="008D2791" w:rsidRPr="00DE2910">
        <w:rPr>
          <w:rFonts w:ascii="Times New Roman" w:hAnsi="Times New Roman" w:cs="Times New Roman"/>
          <w:sz w:val="23"/>
          <w:szCs w:val="23"/>
        </w:rPr>
        <w:t>ajor substantial improvement projects, which are renovations of existing structures that have a combined 5,000 SF footprint and for which the project cost exceeds 50% of the pre-</w:t>
      </w:r>
      <w:r w:rsidRPr="00DE2910">
        <w:rPr>
          <w:rFonts w:ascii="Times New Roman" w:hAnsi="Times New Roman" w:cs="Times New Roman"/>
          <w:sz w:val="23"/>
          <w:szCs w:val="23"/>
        </w:rPr>
        <w:t xml:space="preserve">project value of the structure, will be </w:t>
      </w:r>
      <w:r w:rsidR="008D2791" w:rsidRPr="00DE2910">
        <w:rPr>
          <w:rFonts w:ascii="Times New Roman" w:hAnsi="Times New Roman" w:cs="Times New Roman"/>
          <w:sz w:val="23"/>
          <w:szCs w:val="23"/>
        </w:rPr>
        <w:t>required to retain the volume from a 0.8 inch storm.</w:t>
      </w:r>
      <w:r w:rsidRPr="00DE2910">
        <w:rPr>
          <w:rFonts w:ascii="Times New Roman" w:hAnsi="Times New Roman" w:cs="Times New Roman"/>
          <w:sz w:val="23"/>
          <w:szCs w:val="23"/>
        </w:rPr>
        <w:t xml:space="preserve">  This is a new trigger.</w:t>
      </w:r>
    </w:p>
    <w:p w:rsidR="008D2791" w:rsidRPr="00DE2910" w:rsidRDefault="00CB1BDC" w:rsidP="008D2791">
      <w:pPr>
        <w:pStyle w:val="ListParagraph"/>
        <w:numPr>
          <w:ilvl w:val="0"/>
          <w:numId w:val="1"/>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After achieving 50% of its required retention volume on site, a regulated site has the option to achieve the remainder off site</w:t>
      </w:r>
      <w:r w:rsidR="00C05CB1" w:rsidRPr="00DE2910">
        <w:rPr>
          <w:rFonts w:ascii="Times New Roman" w:eastAsia="Times New Roman" w:hAnsi="Times New Roman" w:cs="Times New Roman"/>
          <w:color w:val="000000"/>
          <w:sz w:val="23"/>
          <w:szCs w:val="23"/>
        </w:rPr>
        <w:t xml:space="preserve"> without first demonstrating that on-site retention is infeasible.  The volume that the regulated site chooses to retain off site is an ongoing obligation that it must continue to achieve over time, just as the regulated site must continue to maintain the stormwater GI practices installed on site.  </w:t>
      </w:r>
    </w:p>
    <w:p w:rsidR="00C05CB1" w:rsidRPr="00DE2910" w:rsidRDefault="00C05CB1" w:rsidP="008D2791">
      <w:pPr>
        <w:pStyle w:val="ListParagraph"/>
        <w:numPr>
          <w:ilvl w:val="0"/>
          <w:numId w:val="1"/>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A regulated site that elects to use off-site retention has two options for achieving the off-site retention volume:</w:t>
      </w:r>
    </w:p>
    <w:p w:rsidR="0099687E" w:rsidRPr="00DE2910" w:rsidRDefault="00C05CB1" w:rsidP="00C05CB1">
      <w:pPr>
        <w:pStyle w:val="ListParagraph"/>
        <w:numPr>
          <w:ilvl w:val="0"/>
          <w:numId w:val="5"/>
        </w:numPr>
        <w:ind w:left="72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Payment of an In-Lieu Fee (ILF) to DDOE.  The ILF is set at $3.50 per gallon of retention per year.</w:t>
      </w:r>
    </w:p>
    <w:p w:rsidR="004C1F48" w:rsidRPr="00DE2910" w:rsidRDefault="00C05CB1" w:rsidP="004C1F48">
      <w:pPr>
        <w:pStyle w:val="ListParagraph"/>
        <w:numPr>
          <w:ilvl w:val="0"/>
          <w:numId w:val="5"/>
        </w:numPr>
        <w:ind w:left="72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Use of a privately tradable Stormwater Retention Credit (SRC).  An SRC is equal to one gallon of retention for one year.  A regulated site could generate SRCs on another property that it owns</w:t>
      </w:r>
      <w:r w:rsidR="004C1F48" w:rsidRPr="00DE2910">
        <w:rPr>
          <w:rFonts w:ascii="Times New Roman" w:eastAsia="Times New Roman" w:hAnsi="Times New Roman" w:cs="Times New Roman"/>
          <w:color w:val="000000"/>
          <w:sz w:val="23"/>
          <w:szCs w:val="23"/>
        </w:rPr>
        <w:t>,</w:t>
      </w:r>
      <w:r w:rsidRPr="00DE2910">
        <w:rPr>
          <w:rFonts w:ascii="Times New Roman" w:eastAsia="Times New Roman" w:hAnsi="Times New Roman" w:cs="Times New Roman"/>
          <w:color w:val="000000"/>
          <w:sz w:val="23"/>
          <w:szCs w:val="23"/>
        </w:rPr>
        <w:t xml:space="preserve"> or </w:t>
      </w:r>
      <w:r w:rsidR="004C1F48" w:rsidRPr="00DE2910">
        <w:rPr>
          <w:rFonts w:ascii="Times New Roman" w:eastAsia="Times New Roman" w:hAnsi="Times New Roman" w:cs="Times New Roman"/>
          <w:color w:val="000000"/>
          <w:sz w:val="23"/>
          <w:szCs w:val="23"/>
        </w:rPr>
        <w:t xml:space="preserve">it could </w:t>
      </w:r>
      <w:r w:rsidRPr="00DE2910">
        <w:rPr>
          <w:rFonts w:ascii="Times New Roman" w:eastAsia="Times New Roman" w:hAnsi="Times New Roman" w:cs="Times New Roman"/>
          <w:color w:val="000000"/>
          <w:sz w:val="23"/>
          <w:szCs w:val="23"/>
        </w:rPr>
        <w:t>purchase SRCs from another property owner.</w:t>
      </w:r>
    </w:p>
    <w:p w:rsidR="004C1F48" w:rsidRPr="00DE2910" w:rsidRDefault="00222D0A" w:rsidP="004C1F48">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Unless it drains into the Combined Sewer System, a</w:t>
      </w:r>
      <w:r w:rsidR="004C1F48" w:rsidRPr="00DE2910">
        <w:rPr>
          <w:rFonts w:ascii="Times New Roman" w:eastAsia="Times New Roman" w:hAnsi="Times New Roman" w:cs="Times New Roman"/>
          <w:color w:val="000000"/>
          <w:sz w:val="23"/>
          <w:szCs w:val="23"/>
        </w:rPr>
        <w:t xml:space="preserve"> site that e</w:t>
      </w:r>
      <w:r w:rsidRPr="00DE2910">
        <w:rPr>
          <w:rFonts w:ascii="Times New Roman" w:eastAsia="Times New Roman" w:hAnsi="Times New Roman" w:cs="Times New Roman"/>
          <w:color w:val="000000"/>
          <w:sz w:val="23"/>
          <w:szCs w:val="23"/>
        </w:rPr>
        <w:t xml:space="preserve">lects to use off-site retention </w:t>
      </w:r>
      <w:r w:rsidR="004C1F48" w:rsidRPr="00DE2910">
        <w:rPr>
          <w:rFonts w:ascii="Times New Roman" w:eastAsia="Times New Roman" w:hAnsi="Times New Roman" w:cs="Times New Roman"/>
          <w:color w:val="000000"/>
          <w:sz w:val="23"/>
          <w:szCs w:val="23"/>
        </w:rPr>
        <w:t xml:space="preserve">must </w:t>
      </w:r>
      <w:r w:rsidRPr="00DE2910">
        <w:rPr>
          <w:rFonts w:ascii="Times New Roman" w:eastAsia="Times New Roman" w:hAnsi="Times New Roman" w:cs="Times New Roman"/>
          <w:color w:val="000000"/>
          <w:sz w:val="23"/>
          <w:szCs w:val="23"/>
        </w:rPr>
        <w:t xml:space="preserve">either </w:t>
      </w:r>
      <w:r w:rsidR="004C1F48" w:rsidRPr="00DE2910">
        <w:rPr>
          <w:rFonts w:ascii="Times New Roman" w:eastAsia="Times New Roman" w:hAnsi="Times New Roman" w:cs="Times New Roman"/>
          <w:color w:val="000000"/>
          <w:sz w:val="23"/>
          <w:szCs w:val="23"/>
        </w:rPr>
        <w:t>retain</w:t>
      </w:r>
      <w:r w:rsidRPr="00DE2910">
        <w:rPr>
          <w:rFonts w:ascii="Times New Roman" w:eastAsia="Times New Roman" w:hAnsi="Times New Roman" w:cs="Times New Roman"/>
          <w:color w:val="000000"/>
          <w:sz w:val="23"/>
          <w:szCs w:val="23"/>
        </w:rPr>
        <w:t xml:space="preserve"> or provide treatment (i.e. filtration) for a minimum of 50% of the 1.2 inch retention requirement (or 50% of the 0.8 inch retention requirement for a major substantial improvement project) for each drainage area on the site and for any area intended for use or storage of motor vehicles.</w:t>
      </w:r>
    </w:p>
    <w:p w:rsidR="00015EE0" w:rsidRDefault="00015EE0" w:rsidP="004C1F48">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In addition to the stormwater retention performance standards, the stormwater management performance requirements in the final rule include detention requirements for major land-disturbing activities.  These detention requirements are similar to the detention requirements in the stormwater management regulations that were established in 1988.</w:t>
      </w:r>
    </w:p>
    <w:p w:rsidR="00DE2910" w:rsidRPr="00DE2910" w:rsidRDefault="00DE2910" w:rsidP="00DE2910">
      <w:pPr>
        <w:pStyle w:val="ListParagraph"/>
        <w:ind w:left="360"/>
        <w:rPr>
          <w:rFonts w:ascii="Times New Roman" w:eastAsia="Times New Roman" w:hAnsi="Times New Roman" w:cs="Times New Roman"/>
          <w:color w:val="000000"/>
          <w:sz w:val="23"/>
          <w:szCs w:val="23"/>
        </w:rPr>
      </w:pPr>
    </w:p>
    <w:p w:rsidR="00222D0A" w:rsidRPr="00DE2910" w:rsidRDefault="00222D0A" w:rsidP="00A65D9E">
      <w:pPr>
        <w:jc w:val="center"/>
        <w:rPr>
          <w:rFonts w:ascii="Times New Roman" w:eastAsia="Times New Roman" w:hAnsi="Times New Roman" w:cs="Times New Roman"/>
          <w:b/>
          <w:color w:val="000000"/>
          <w:sz w:val="23"/>
          <w:szCs w:val="23"/>
        </w:rPr>
      </w:pPr>
      <w:r w:rsidRPr="00DE2910">
        <w:rPr>
          <w:rFonts w:ascii="Times New Roman" w:eastAsia="Times New Roman" w:hAnsi="Times New Roman" w:cs="Times New Roman"/>
          <w:b/>
          <w:color w:val="000000"/>
          <w:sz w:val="23"/>
          <w:szCs w:val="23"/>
        </w:rPr>
        <w:t>Public Process</w:t>
      </w:r>
      <w:r w:rsidR="00A65D9E" w:rsidRPr="00DE2910">
        <w:rPr>
          <w:rFonts w:ascii="Times New Roman" w:eastAsia="Times New Roman" w:hAnsi="Times New Roman" w:cs="Times New Roman"/>
          <w:b/>
          <w:color w:val="000000"/>
          <w:sz w:val="23"/>
          <w:szCs w:val="23"/>
        </w:rPr>
        <w:t xml:space="preserve"> and Training</w:t>
      </w:r>
    </w:p>
    <w:p w:rsidR="00015EE0" w:rsidRPr="00DE2910" w:rsidRDefault="00015EE0" w:rsidP="00A65D9E">
      <w:pPr>
        <w:jc w:val="center"/>
        <w:rPr>
          <w:rFonts w:ascii="Times New Roman" w:eastAsia="Times New Roman" w:hAnsi="Times New Roman" w:cs="Times New Roman"/>
          <w:b/>
          <w:color w:val="000000"/>
          <w:sz w:val="23"/>
          <w:szCs w:val="23"/>
        </w:rPr>
      </w:pPr>
    </w:p>
    <w:p w:rsidR="00003679" w:rsidRPr="00DE2910" w:rsidRDefault="00E65FD5" w:rsidP="00E65FD5">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 xml:space="preserve">Over the </w:t>
      </w:r>
      <w:r w:rsidR="00003679" w:rsidRPr="00DE2910">
        <w:rPr>
          <w:rFonts w:ascii="Times New Roman" w:eastAsia="Times New Roman" w:hAnsi="Times New Roman" w:cs="Times New Roman"/>
          <w:color w:val="000000"/>
          <w:sz w:val="23"/>
          <w:szCs w:val="23"/>
        </w:rPr>
        <w:t>past ten years</w:t>
      </w:r>
      <w:r w:rsidRPr="00DE2910">
        <w:rPr>
          <w:rFonts w:ascii="Times New Roman" w:eastAsia="Times New Roman" w:hAnsi="Times New Roman" w:cs="Times New Roman"/>
          <w:color w:val="000000"/>
          <w:sz w:val="23"/>
          <w:szCs w:val="23"/>
        </w:rPr>
        <w:t xml:space="preserve">, DDOE has evaluated the impact on District waterbodies of stormwater runoff and </w:t>
      </w:r>
      <w:r w:rsidR="00003679" w:rsidRPr="00DE2910">
        <w:rPr>
          <w:rFonts w:ascii="Times New Roman" w:eastAsia="Times New Roman" w:hAnsi="Times New Roman" w:cs="Times New Roman"/>
          <w:color w:val="000000"/>
          <w:sz w:val="23"/>
          <w:szCs w:val="23"/>
        </w:rPr>
        <w:t>made initial efforts to revise its regulations for</w:t>
      </w:r>
      <w:r w:rsidRPr="00DE2910">
        <w:rPr>
          <w:rFonts w:ascii="Times New Roman" w:eastAsia="Times New Roman" w:hAnsi="Times New Roman" w:cs="Times New Roman"/>
          <w:color w:val="000000"/>
          <w:sz w:val="23"/>
          <w:szCs w:val="23"/>
        </w:rPr>
        <w:t xml:space="preserve"> stormwater management </w:t>
      </w:r>
      <w:r w:rsidR="00003679" w:rsidRPr="00DE2910">
        <w:rPr>
          <w:rFonts w:ascii="Times New Roman" w:eastAsia="Times New Roman" w:hAnsi="Times New Roman" w:cs="Times New Roman"/>
          <w:color w:val="000000"/>
          <w:sz w:val="23"/>
          <w:szCs w:val="23"/>
        </w:rPr>
        <w:t>and soil erosion and sediment control.</w:t>
      </w:r>
    </w:p>
    <w:p w:rsidR="00003679" w:rsidRPr="00DE2910" w:rsidRDefault="00003679" w:rsidP="00E65FD5">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lastRenderedPageBreak/>
        <w:t xml:space="preserve">Initial efforts to revise these regulations provided valuable stakeholder input to DDOE.  When EPA issued a draft MS4 permit with stormwater retention requirements in April, 2010, DDOE redoubled its efforts to develop a practical regulatory framework that would significantly improve protection for District waterbodies, engaging helpful input from stakeholders in the environmental community and the regulated community and providing periodic briefings to these stakeholders. </w:t>
      </w:r>
      <w:r w:rsidR="00711EB7" w:rsidRPr="00DE2910">
        <w:rPr>
          <w:rFonts w:ascii="Times New Roman" w:eastAsia="Times New Roman" w:hAnsi="Times New Roman" w:cs="Times New Roman"/>
          <w:color w:val="000000"/>
          <w:sz w:val="23"/>
          <w:szCs w:val="23"/>
        </w:rPr>
        <w:t>DDOE has continued to provide these briefings to stakeholders throughout the process described below.</w:t>
      </w:r>
    </w:p>
    <w:p w:rsidR="00003679" w:rsidRPr="00DE2910" w:rsidRDefault="00003679" w:rsidP="00E65FD5">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The MS4 permit was finalized as of January 22, 2012, and DDOE incorporated these final requirements into the draft regulations.</w:t>
      </w:r>
    </w:p>
    <w:p w:rsidR="001D6D6F" w:rsidRPr="00DE2910" w:rsidRDefault="00003679" w:rsidP="00E65FD5">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On August 10, 2012, DDOE published its Proposed Rule on Stormwater Management and Soil Erosion and Sediment Control in the DC Register</w:t>
      </w:r>
      <w:r w:rsidR="001D6D6F" w:rsidRPr="00DE2910">
        <w:rPr>
          <w:rFonts w:ascii="Times New Roman" w:eastAsia="Times New Roman" w:hAnsi="Times New Roman" w:cs="Times New Roman"/>
          <w:color w:val="000000"/>
          <w:sz w:val="23"/>
          <w:szCs w:val="23"/>
        </w:rPr>
        <w:t xml:space="preserve"> and began a 90-day comment period (“first formal comment period”) that extended through November 8, 2012.  DDOE also invited comment on a Proposed SWMG, posted on its website, during this 90-day period.</w:t>
      </w:r>
    </w:p>
    <w:p w:rsidR="001D6D6F" w:rsidRPr="00DE2910" w:rsidRDefault="001D6D6F" w:rsidP="00E65FD5">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 xml:space="preserve">During the first formal comment period, DDOE conducted numerous public trainings on compliance with the regulations and participation in the SRC trading program.  DDOE also </w:t>
      </w:r>
      <w:r w:rsidR="00015EE0" w:rsidRPr="00DE2910">
        <w:rPr>
          <w:rFonts w:ascii="Times New Roman" w:eastAsia="Times New Roman" w:hAnsi="Times New Roman" w:cs="Times New Roman"/>
          <w:color w:val="000000"/>
          <w:sz w:val="23"/>
          <w:szCs w:val="23"/>
        </w:rPr>
        <w:t>held two public hearings</w:t>
      </w:r>
      <w:r w:rsidRPr="00DE2910">
        <w:rPr>
          <w:rFonts w:ascii="Times New Roman" w:eastAsia="Times New Roman" w:hAnsi="Times New Roman" w:cs="Times New Roman"/>
          <w:color w:val="000000"/>
          <w:sz w:val="23"/>
          <w:szCs w:val="23"/>
        </w:rPr>
        <w:t>.</w:t>
      </w:r>
      <w:r w:rsidR="00D766C8" w:rsidRPr="00DE2910">
        <w:rPr>
          <w:rFonts w:ascii="Times New Roman" w:eastAsia="Times New Roman" w:hAnsi="Times New Roman" w:cs="Times New Roman"/>
          <w:color w:val="000000"/>
          <w:sz w:val="23"/>
          <w:szCs w:val="23"/>
        </w:rPr>
        <w:t xml:space="preserve">  DDOE received 21 sets of formal comments on the Proposed Rule and 24 sets of formal comments on the Proposed SWMG.</w:t>
      </w:r>
    </w:p>
    <w:p w:rsidR="001D6D6F" w:rsidRPr="00DE2910" w:rsidRDefault="001D6D6F" w:rsidP="00E65FD5">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Afte</w:t>
      </w:r>
      <w:r w:rsidR="00D766C8" w:rsidRPr="00DE2910">
        <w:rPr>
          <w:rFonts w:ascii="Times New Roman" w:eastAsia="Times New Roman" w:hAnsi="Times New Roman" w:cs="Times New Roman"/>
          <w:color w:val="000000"/>
          <w:sz w:val="23"/>
          <w:szCs w:val="23"/>
        </w:rPr>
        <w:t>r considering comments</w:t>
      </w:r>
      <w:r w:rsidRPr="00DE2910">
        <w:rPr>
          <w:rFonts w:ascii="Times New Roman" w:eastAsia="Times New Roman" w:hAnsi="Times New Roman" w:cs="Times New Roman"/>
          <w:color w:val="000000"/>
          <w:sz w:val="23"/>
          <w:szCs w:val="23"/>
        </w:rPr>
        <w:t xml:space="preserve"> on the Proposed Rule and SWMG and making appropriate changes, DDOE released revised versions of the rule and SWMG for a 30-day informal comment period</w:t>
      </w:r>
      <w:r w:rsidR="00711EB7" w:rsidRPr="00DE2910">
        <w:rPr>
          <w:rFonts w:ascii="Times New Roman" w:eastAsia="Times New Roman" w:hAnsi="Times New Roman" w:cs="Times New Roman"/>
          <w:color w:val="000000"/>
          <w:sz w:val="23"/>
          <w:szCs w:val="23"/>
        </w:rPr>
        <w:t>, which ended on April 30, 2013</w:t>
      </w:r>
      <w:r w:rsidRPr="00DE2910">
        <w:rPr>
          <w:rFonts w:ascii="Times New Roman" w:eastAsia="Times New Roman" w:hAnsi="Times New Roman" w:cs="Times New Roman"/>
          <w:color w:val="000000"/>
          <w:sz w:val="23"/>
          <w:szCs w:val="23"/>
        </w:rPr>
        <w:t>.  DDOE posted the Revised Rule and Revised SWMG on its website and notified stakeholders through an email list, on which members of the public have been added at their request throughout the process.</w:t>
      </w:r>
      <w:r w:rsidR="00D766C8" w:rsidRPr="00DE2910">
        <w:rPr>
          <w:rFonts w:ascii="Times New Roman" w:eastAsia="Times New Roman" w:hAnsi="Times New Roman" w:cs="Times New Roman"/>
          <w:color w:val="000000"/>
          <w:sz w:val="23"/>
          <w:szCs w:val="23"/>
        </w:rPr>
        <w:t xml:space="preserve">  DDOE received eight sets of comments on the Revised Rule and 10 sets of comments on the Revised SWMG</w:t>
      </w:r>
    </w:p>
    <w:p w:rsidR="00711EB7" w:rsidRPr="00DE2910" w:rsidRDefault="001D6D6F" w:rsidP="00E65FD5">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After considering comments submitted on the Revised Rule and SWMG and making app</w:t>
      </w:r>
      <w:r w:rsidR="00711EB7" w:rsidRPr="00DE2910">
        <w:rPr>
          <w:rFonts w:ascii="Times New Roman" w:eastAsia="Times New Roman" w:hAnsi="Times New Roman" w:cs="Times New Roman"/>
          <w:color w:val="000000"/>
          <w:sz w:val="23"/>
          <w:szCs w:val="23"/>
        </w:rPr>
        <w:t>ropriate changes, DDOE began a 30-day “second formal comment period” on its Second Proposed Rule by publishing it in the DC Register on June 7, 2013.  DDOE also posted a Second Proposed SWMG on its website and requested public comment.  Subsequently DDOE issued a Notice of Superseding Rulemaking in the DC Register on June 28, 2013 to correct an editorial error.  DDOE held a public hearing at which it took comments on the Second Proposed Rule and SWMG and on the Notice of Superseding Rulemaking on July 8, 2013, which is also the day that the second formal comment period ended.  The comment period for the Notice of Superseding Rulemaking ended on July 10, 2013.</w:t>
      </w:r>
      <w:r w:rsidR="00D766C8" w:rsidRPr="00DE2910">
        <w:rPr>
          <w:rFonts w:ascii="Times New Roman" w:eastAsia="Times New Roman" w:hAnsi="Times New Roman" w:cs="Times New Roman"/>
          <w:color w:val="000000"/>
          <w:sz w:val="23"/>
          <w:szCs w:val="23"/>
        </w:rPr>
        <w:t xml:space="preserve"> </w:t>
      </w:r>
      <w:r w:rsidR="00173E8D" w:rsidRPr="00DE2910">
        <w:rPr>
          <w:rFonts w:ascii="Times New Roman" w:eastAsia="Times New Roman" w:hAnsi="Times New Roman" w:cs="Times New Roman"/>
          <w:color w:val="000000"/>
          <w:sz w:val="23"/>
          <w:szCs w:val="23"/>
        </w:rPr>
        <w:t xml:space="preserve"> On the Second Proposed Rule and the Notice of Superseding Rulemaking, DDOE received 12 written sets of comments and three sets of comments given orally at the hearing.  On the Second Proposed SWMG, DDOE received seven sets of comments.</w:t>
      </w:r>
    </w:p>
    <w:p w:rsidR="00A65D9E" w:rsidRPr="00DE2910" w:rsidRDefault="00711EB7" w:rsidP="00E65FD5">
      <w:pPr>
        <w:pStyle w:val="ListParagraph"/>
        <w:numPr>
          <w:ilvl w:val="0"/>
          <w:numId w:val="6"/>
        </w:numPr>
        <w:ind w:left="360"/>
        <w:rPr>
          <w:rFonts w:ascii="Times New Roman" w:eastAsia="Times New Roman" w:hAnsi="Times New Roman" w:cs="Times New Roman"/>
          <w:color w:val="000000"/>
          <w:sz w:val="23"/>
          <w:szCs w:val="23"/>
        </w:rPr>
      </w:pPr>
      <w:r w:rsidRPr="00DE2910">
        <w:rPr>
          <w:rFonts w:ascii="Times New Roman" w:eastAsia="Times New Roman" w:hAnsi="Times New Roman" w:cs="Times New Roman"/>
          <w:color w:val="000000"/>
          <w:sz w:val="23"/>
          <w:szCs w:val="23"/>
        </w:rPr>
        <w:t xml:space="preserve">DDOE </w:t>
      </w:r>
      <w:r w:rsidR="00A65D9E" w:rsidRPr="00DE2910">
        <w:rPr>
          <w:rFonts w:ascii="Times New Roman" w:eastAsia="Times New Roman" w:hAnsi="Times New Roman" w:cs="Times New Roman"/>
          <w:color w:val="000000"/>
          <w:sz w:val="23"/>
          <w:szCs w:val="23"/>
        </w:rPr>
        <w:t xml:space="preserve">is currently scheduling a new round of public trainings on compliance with the Final Rule and participation in SRC trading.  DDOE will make the training schedule available via </w:t>
      </w:r>
      <w:r w:rsidR="00A65D9E" w:rsidRPr="00DE2910">
        <w:rPr>
          <w:rFonts w:ascii="Times New Roman" w:hAnsi="Times New Roman" w:cs="Times New Roman"/>
          <w:color w:val="0000FF"/>
          <w:sz w:val="23"/>
          <w:szCs w:val="23"/>
          <w:u w:val="single"/>
        </w:rPr>
        <w:t>ddoe.dc.gov/swregs</w:t>
      </w:r>
      <w:r w:rsidR="00A65D9E" w:rsidRPr="00DE2910">
        <w:rPr>
          <w:rFonts w:ascii="Times New Roman" w:eastAsia="Times New Roman" w:hAnsi="Times New Roman" w:cs="Times New Roman"/>
          <w:color w:val="000000"/>
          <w:sz w:val="23"/>
          <w:szCs w:val="23"/>
        </w:rPr>
        <w:t>, in addition to distributing it through the email list mentioned above.</w:t>
      </w:r>
    </w:p>
    <w:p w:rsidR="00A65D9E" w:rsidRPr="00DE2910" w:rsidRDefault="00A65D9E" w:rsidP="0099687E">
      <w:pPr>
        <w:rPr>
          <w:rFonts w:ascii="Times New Roman" w:eastAsia="Times New Roman" w:hAnsi="Times New Roman" w:cs="Times New Roman"/>
          <w:color w:val="000000"/>
          <w:sz w:val="23"/>
          <w:szCs w:val="23"/>
        </w:rPr>
      </w:pPr>
    </w:p>
    <w:p w:rsidR="00A65D9E" w:rsidRPr="00DE2910" w:rsidRDefault="00A65D9E" w:rsidP="00A65D9E">
      <w:pPr>
        <w:ind w:left="360"/>
        <w:jc w:val="center"/>
        <w:rPr>
          <w:rFonts w:ascii="Times New Roman" w:hAnsi="Times New Roman" w:cs="Times New Roman"/>
          <w:b/>
          <w:sz w:val="23"/>
          <w:szCs w:val="23"/>
        </w:rPr>
      </w:pPr>
      <w:r w:rsidRPr="00DE2910">
        <w:rPr>
          <w:rFonts w:ascii="Times New Roman" w:hAnsi="Times New Roman" w:cs="Times New Roman"/>
          <w:b/>
          <w:sz w:val="23"/>
          <w:szCs w:val="23"/>
        </w:rPr>
        <w:t>Transition to New Stormwater Performance Requirements</w:t>
      </w:r>
    </w:p>
    <w:p w:rsidR="00A65D9E" w:rsidRPr="00DE2910" w:rsidRDefault="00A65D9E" w:rsidP="00A65D9E">
      <w:pPr>
        <w:rPr>
          <w:rFonts w:ascii="Times New Roman" w:hAnsi="Times New Roman" w:cs="Times New Roman"/>
          <w:b/>
          <w:sz w:val="23"/>
          <w:szCs w:val="23"/>
        </w:rPr>
      </w:pPr>
    </w:p>
    <w:p w:rsidR="00A65D9E" w:rsidRPr="00DE2910" w:rsidRDefault="00A65D9E" w:rsidP="00A65D9E">
      <w:pPr>
        <w:pStyle w:val="ListParagraph"/>
        <w:numPr>
          <w:ilvl w:val="0"/>
          <w:numId w:val="10"/>
        </w:numPr>
        <w:ind w:left="360"/>
        <w:rPr>
          <w:rFonts w:ascii="Times New Roman" w:hAnsi="Times New Roman" w:cs="Times New Roman"/>
          <w:sz w:val="23"/>
          <w:szCs w:val="23"/>
        </w:rPr>
      </w:pPr>
      <w:r w:rsidRPr="00DE2910">
        <w:rPr>
          <w:rFonts w:ascii="Times New Roman" w:hAnsi="Times New Roman" w:cs="Times New Roman"/>
          <w:sz w:val="23"/>
          <w:szCs w:val="23"/>
        </w:rPr>
        <w:t>The Final Rule includes a transition plan for regulated projects to comply with the new stormwater performance requirements.</w:t>
      </w:r>
      <w:r w:rsidR="00F2603B" w:rsidRPr="00DE2910">
        <w:rPr>
          <w:rFonts w:ascii="Times New Roman" w:hAnsi="Times New Roman" w:cs="Times New Roman"/>
          <w:sz w:val="23"/>
          <w:szCs w:val="23"/>
        </w:rPr>
        <w:t xml:space="preserve">  The Final Rule’s provisions related to SRC trading and to erosion and sediment control take effect upon final publication in the DC Register.</w:t>
      </w:r>
    </w:p>
    <w:p w:rsidR="00173E8D" w:rsidRPr="00DE2910" w:rsidRDefault="00A65D9E" w:rsidP="00A65D9E">
      <w:pPr>
        <w:pStyle w:val="ListParagraph"/>
        <w:numPr>
          <w:ilvl w:val="0"/>
          <w:numId w:val="10"/>
        </w:numPr>
        <w:ind w:left="360"/>
        <w:rPr>
          <w:rFonts w:ascii="Times New Roman" w:hAnsi="Times New Roman" w:cs="Times New Roman"/>
        </w:rPr>
      </w:pPr>
      <w:r w:rsidRPr="00DE2910">
        <w:rPr>
          <w:rFonts w:ascii="Times New Roman" w:hAnsi="Times New Roman" w:cs="Times New Roman"/>
          <w:sz w:val="23"/>
          <w:szCs w:val="23"/>
        </w:rPr>
        <w:t>In developing this transition plan, DDOE carefully considered competing stakeholder interests, and comments, as well as the requirements of the MS4 permit.  On the one hand, the new requirements are essential for the restoration of the District’s waterbodies</w:t>
      </w:r>
      <w:r w:rsidR="00F2603B" w:rsidRPr="00DE2910">
        <w:rPr>
          <w:rFonts w:ascii="Times New Roman" w:hAnsi="Times New Roman" w:cs="Times New Roman"/>
          <w:sz w:val="23"/>
          <w:szCs w:val="23"/>
        </w:rPr>
        <w:t>,</w:t>
      </w:r>
      <w:r w:rsidRPr="00DE2910">
        <w:rPr>
          <w:rFonts w:ascii="Times New Roman" w:hAnsi="Times New Roman" w:cs="Times New Roman"/>
          <w:sz w:val="23"/>
          <w:szCs w:val="23"/>
        </w:rPr>
        <w:t xml:space="preserve"> and without these new requirements, or something very similar, it is difficult to envision how the full use of District </w:t>
      </w:r>
      <w:r w:rsidRPr="00DE2910">
        <w:rPr>
          <w:rFonts w:ascii="Times New Roman" w:hAnsi="Times New Roman" w:cs="Times New Roman"/>
          <w:sz w:val="23"/>
          <w:szCs w:val="23"/>
        </w:rPr>
        <w:lastRenderedPageBreak/>
        <w:t xml:space="preserve">waterbodies can be restored to its residents, visitors, and businesses.  On the other hand, requiring regulated projects to meet the new requirements immediately or very soon after finalizing the rule may impose significant costs and time delays on these projects.  As noted above, the new regulations represent a significant shift from the existing regulations.  The types of projects that trigger the District’s stormwater management regulations may go through months or even years of design work prior to beginning the permitting process that triggers the regulations, and it is difficult for those projects to design </w:t>
      </w:r>
      <w:r w:rsidR="00F2603B" w:rsidRPr="00DE2910">
        <w:rPr>
          <w:rFonts w:ascii="Times New Roman" w:hAnsi="Times New Roman" w:cs="Times New Roman"/>
          <w:sz w:val="23"/>
          <w:szCs w:val="23"/>
        </w:rPr>
        <w:t xml:space="preserve">to the new requirements before the finalization of the Rule </w:t>
      </w:r>
      <w:r w:rsidR="00F2603B" w:rsidRPr="00DE2910">
        <w:rPr>
          <w:rFonts w:ascii="Times New Roman" w:hAnsi="Times New Roman" w:cs="Times New Roman"/>
        </w:rPr>
        <w:t xml:space="preserve">and SWMG.  </w:t>
      </w:r>
    </w:p>
    <w:p w:rsidR="00A65D9E" w:rsidRPr="009837DA" w:rsidRDefault="00B47B34" w:rsidP="00A65D9E">
      <w:pPr>
        <w:pStyle w:val="ListParagraph"/>
        <w:numPr>
          <w:ilvl w:val="0"/>
          <w:numId w:val="10"/>
        </w:numPr>
        <w:ind w:left="360"/>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58240" behindDoc="0" locked="0" layoutInCell="1" allowOverlap="1">
                <wp:simplePos x="0" y="0"/>
                <wp:positionH relativeFrom="page">
                  <wp:posOffset>819785</wp:posOffset>
                </wp:positionH>
                <wp:positionV relativeFrom="page">
                  <wp:posOffset>2934335</wp:posOffset>
                </wp:positionV>
                <wp:extent cx="6066155" cy="5994400"/>
                <wp:effectExtent l="0" t="0" r="1079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5994400"/>
                        </a:xfrm>
                        <a:prstGeom prst="rect">
                          <a:avLst/>
                        </a:prstGeom>
                        <a:solidFill>
                          <a:srgbClr val="FFFFFF"/>
                        </a:solidFill>
                        <a:ln w="9525">
                          <a:solidFill>
                            <a:srgbClr val="000000"/>
                          </a:solidFill>
                          <a:miter lim="800000"/>
                          <a:headEnd/>
                          <a:tailEnd/>
                        </a:ln>
                      </wps:spPr>
                      <wps:txbx>
                        <w:txbxContent>
                          <w:p w:rsidR="00173E8D" w:rsidRDefault="00173E8D" w:rsidP="00095224">
                            <w:pPr>
                              <w:jc w:val="center"/>
                            </w:pPr>
                            <w:r>
                              <w:rPr>
                                <w:noProof/>
                              </w:rPr>
                              <w:drawing>
                                <wp:inline distT="0" distB="0" distL="0" distR="0">
                                  <wp:extent cx="5979160" cy="2131060"/>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05472" cy="3290461"/>
                                            <a:chOff x="-351972" y="1070430"/>
                                            <a:chExt cx="9305472" cy="3290461"/>
                                          </a:xfrm>
                                        </a:grpSpPr>
                                        <a:sp>
                                          <a:nvSpPr>
                                            <a:cNvPr id="7174" name="Line 69"/>
                                            <a:cNvSpPr>
                                              <a:spLocks noChangeShapeType="1"/>
                                            </a:cNvSpPr>
                                          </a:nvSpPr>
                                          <a:spPr bwMode="auto">
                                            <a:xfrm>
                                              <a:off x="112713" y="2593975"/>
                                              <a:ext cx="8840787" cy="11113"/>
                                            </a:xfrm>
                                            <a:prstGeom prst="line">
                                              <a:avLst/>
                                            </a:prstGeom>
                                            <a:noFill/>
                                            <a:ln w="63500">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75" name="Line 71"/>
                                            <a:cNvSpPr>
                                              <a:spLocks noChangeShapeType="1"/>
                                            </a:cNvSpPr>
                                          </a:nvSpPr>
                                          <a:spPr bwMode="auto">
                                            <a:xfrm rot="10800000">
                                              <a:off x="2286000" y="1741488"/>
                                              <a:ext cx="12700" cy="1878012"/>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76" name="Line 78"/>
                                            <a:cNvSpPr>
                                              <a:spLocks noChangeShapeType="1"/>
                                            </a:cNvSpPr>
                                          </a:nvSpPr>
                                          <a:spPr bwMode="auto">
                                            <a:xfrm rot="10800000" flipH="1">
                                              <a:off x="609599" y="1828800"/>
                                              <a:ext cx="0" cy="1743075"/>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77" name="Line 84"/>
                                            <a:cNvSpPr>
                                              <a:spLocks noChangeShapeType="1"/>
                                            </a:cNvSpPr>
                                          </a:nvSpPr>
                                          <a:spPr bwMode="auto">
                                            <a:xfrm flipH="1">
                                              <a:off x="609600" y="2743200"/>
                                              <a:ext cx="1676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78" name="Rectangle 85"/>
                                            <a:cNvSpPr>
                                              <a:spLocks/>
                                            </a:cNvSpPr>
                                          </a:nvSpPr>
                                          <a:spPr bwMode="auto">
                                            <a:xfrm>
                                              <a:off x="1600200" y="1219200"/>
                                              <a:ext cx="13716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r>
                                                  <a:rPr lang="en-US" sz="1400">
                                                    <a:solidFill>
                                                      <a:schemeClr val="tx2"/>
                                                    </a:solidFill>
                                                    <a:latin typeface="Arial Bold" charset="0"/>
                                                    <a:cs typeface="Arial Bold" charset="0"/>
                                                    <a:sym typeface="Arial Bold" charset="0"/>
                                                  </a:rPr>
                                                  <a:t>Transition Period 1 ends</a:t>
                                                </a:r>
                                              </a:p>
                                            </a:txBody>
                                            <a:useSpRect/>
                                          </a:txSp>
                                        </a:sp>
                                        <a:sp>
                                          <a:nvSpPr>
                                            <a:cNvPr id="7179" name="Rectangle 91"/>
                                            <a:cNvSpPr>
                                              <a:spLocks/>
                                            </a:cNvSpPr>
                                          </a:nvSpPr>
                                          <a:spPr bwMode="auto">
                                            <a:xfrm>
                                              <a:off x="3657600" y="2924175"/>
                                              <a:ext cx="17526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Transition Period 2B 545 Days</a:t>
                                                </a:r>
                                              </a:p>
                                            </a:txBody>
                                            <a:useSpRect/>
                                          </a:txSp>
                                        </a:sp>
                                        <a:sp>
                                          <a:nvSpPr>
                                            <a:cNvPr id="7180" name="Line 92"/>
                                            <a:cNvSpPr>
                                              <a:spLocks noChangeShapeType="1"/>
                                            </a:cNvSpPr>
                                          </a:nvSpPr>
                                          <a:spPr bwMode="auto">
                                            <a:xfrm rot="10800000">
                                              <a:off x="2286000" y="2819400"/>
                                              <a:ext cx="41910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81" name="Line 94"/>
                                            <a:cNvSpPr>
                                              <a:spLocks noChangeShapeType="1"/>
                                            </a:cNvSpPr>
                                          </a:nvSpPr>
                                          <a:spPr bwMode="auto">
                                            <a:xfrm rot="10800000" flipH="1">
                                              <a:off x="5105400" y="1752600"/>
                                              <a:ext cx="0" cy="838200"/>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82" name="Rectangle 95"/>
                                            <a:cNvSpPr>
                                              <a:spLocks/>
                                            </a:cNvSpPr>
                                          </a:nvSpPr>
                                          <a:spPr bwMode="auto">
                                            <a:xfrm>
                                              <a:off x="-19958" y="1244600"/>
                                              <a:ext cx="13589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dirty="0">
                                                    <a:solidFill>
                                                      <a:schemeClr val="tx2"/>
                                                    </a:solidFill>
                                                    <a:latin typeface="Arial Bold" charset="0"/>
                                                    <a:cs typeface="Arial Bold" charset="0"/>
                                                    <a:sym typeface="Arial Bold" charset="0"/>
                                                  </a:rPr>
                                                  <a:t>Final Rule Published</a:t>
                                                </a:r>
                                              </a:p>
                                            </a:txBody>
                                            <a:useSpRect/>
                                          </a:txSp>
                                        </a:sp>
                                        <a:sp>
                                          <a:nvSpPr>
                                            <a:cNvPr id="7183" name="Rectangle 83"/>
                                            <a:cNvSpPr>
                                              <a:spLocks/>
                                            </a:cNvSpPr>
                                          </a:nvSpPr>
                                          <a:spPr bwMode="auto">
                                            <a:xfrm>
                                              <a:off x="533400" y="2913063"/>
                                              <a:ext cx="18288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dirty="0">
                                                    <a:solidFill>
                                                      <a:schemeClr val="tx2"/>
                                                    </a:solidFill>
                                                    <a:cs typeface="Arial" charset="0"/>
                                                  </a:rPr>
                                                  <a:t>Transition Period 1 180 days</a:t>
                                                </a:r>
                                              </a:p>
                                            </a:txBody>
                                            <a:useSpRect/>
                                          </a:txSp>
                                        </a:sp>
                                        <a:sp>
                                          <a:nvSpPr>
                                            <a:cNvPr id="99" name="Line 1"/>
                                            <a:cNvSpPr>
                                              <a:spLocks noChangeShapeType="1"/>
                                            </a:cNvSpPr>
                                          </a:nvSpPr>
                                          <a:spPr bwMode="auto">
                                            <a:xfrm rot="10800000" flipV="1">
                                              <a:off x="5105400" y="1905000"/>
                                              <a:ext cx="37338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86" name="Rectangle 91"/>
                                            <a:cNvSpPr>
                                              <a:spLocks/>
                                            </a:cNvSpPr>
                                          </a:nvSpPr>
                                          <a:spPr bwMode="auto">
                                            <a:xfrm>
                                              <a:off x="5486400" y="2006600"/>
                                              <a:ext cx="29718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Fully effective for Major Land Disturbing Activities</a:t>
                                                </a:r>
                                              </a:p>
                                            </a:txBody>
                                            <a:useSpRect/>
                                          </a:txSp>
                                        </a:sp>
                                        <a:sp>
                                          <a:nvSpPr>
                                            <a:cNvPr id="7187" name="Rectangle 91"/>
                                            <a:cNvSpPr>
                                              <a:spLocks/>
                                            </a:cNvSpPr>
                                          </a:nvSpPr>
                                          <a:spPr bwMode="auto">
                                            <a:xfrm>
                                              <a:off x="2743200" y="1981200"/>
                                              <a:ext cx="19812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Transition Period 2A 365 Days</a:t>
                                                </a:r>
                                              </a:p>
                                            </a:txBody>
                                            <a:useSpRect/>
                                          </a:txSp>
                                        </a:sp>
                                        <a:sp>
                                          <a:nvSpPr>
                                            <a:cNvPr id="7188" name="Line 92"/>
                                            <a:cNvSpPr>
                                              <a:spLocks noChangeShapeType="1"/>
                                            </a:cNvSpPr>
                                          </a:nvSpPr>
                                          <a:spPr bwMode="auto">
                                            <a:xfrm rot="10800000">
                                              <a:off x="2286000" y="1905000"/>
                                              <a:ext cx="2819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89" name="Line 94"/>
                                            <a:cNvSpPr>
                                              <a:spLocks noChangeShapeType="1"/>
                                            </a:cNvSpPr>
                                          </a:nvSpPr>
                                          <a:spPr bwMode="auto">
                                            <a:xfrm rot="10800000" flipH="1">
                                              <a:off x="6477000" y="2590800"/>
                                              <a:ext cx="0" cy="990600"/>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90" name="Rectangle 91"/>
                                            <a:cNvSpPr>
                                              <a:spLocks/>
                                            </a:cNvSpPr>
                                          </a:nvSpPr>
                                          <a:spPr bwMode="auto">
                                            <a:xfrm>
                                              <a:off x="6629400" y="2921000"/>
                                              <a:ext cx="21336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Fully effective for Major Substantial Improvements</a:t>
                                                </a:r>
                                              </a:p>
                                            </a:txBody>
                                            <a:useSpRect/>
                                          </a:txSp>
                                        </a:sp>
                                        <a:sp>
                                          <a:nvSpPr>
                                            <a:cNvPr id="91" name="Line 1"/>
                                            <a:cNvSpPr>
                                              <a:spLocks noChangeShapeType="1"/>
                                            </a:cNvSpPr>
                                          </a:nvSpPr>
                                          <a:spPr bwMode="auto">
                                            <a:xfrm rot="10800000">
                                              <a:off x="6477000" y="2743200"/>
                                              <a:ext cx="2438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92" name="Rectangle 85"/>
                                            <a:cNvSpPr>
                                              <a:spLocks/>
                                            </a:cNvSpPr>
                                          </a:nvSpPr>
                                          <a:spPr bwMode="auto">
                                            <a:xfrm>
                                              <a:off x="4419600" y="1070430"/>
                                              <a:ext cx="13716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r>
                                                  <a:rPr lang="en-US" sz="1400" dirty="0">
                                                    <a:solidFill>
                                                      <a:schemeClr val="tx2"/>
                                                    </a:solidFill>
                                                    <a:latin typeface="Arial Bold" charset="0"/>
                                                    <a:cs typeface="Arial Bold" charset="0"/>
                                                    <a:sym typeface="Arial Bold" charset="0"/>
                                                  </a:rPr>
                                                  <a:t>Transition Period 2A ends</a:t>
                                                </a:r>
                                              </a:p>
                                            </a:txBody>
                                            <a:useSpRect/>
                                          </a:txSp>
                                        </a:sp>
                                        <a:sp>
                                          <a:nvSpPr>
                                            <a:cNvPr id="7193" name="Rectangle 85"/>
                                            <a:cNvSpPr>
                                              <a:spLocks/>
                                            </a:cNvSpPr>
                                          </a:nvSpPr>
                                          <a:spPr bwMode="auto">
                                            <a:xfrm>
                                              <a:off x="5791200" y="3657600"/>
                                              <a:ext cx="1447800" cy="2286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r>
                                                  <a:rPr lang="en-US" sz="1400">
                                                    <a:solidFill>
                                                      <a:schemeClr val="tx2"/>
                                                    </a:solidFill>
                                                    <a:latin typeface="Arial Bold" charset="0"/>
                                                    <a:cs typeface="Arial Bold" charset="0"/>
                                                    <a:sym typeface="Arial Bold" charset="0"/>
                                                  </a:rPr>
                                                  <a:t>Transition Period 2B ends</a:t>
                                                </a:r>
                                              </a:p>
                                            </a:txBody>
                                            <a:useSpRect/>
                                          </a:txSp>
                                        </a:sp>
                                        <a:sp>
                                          <a:nvSpPr>
                                            <a:cNvPr id="89" name="TextBox 88"/>
                                            <a:cNvSpPr txBox="1"/>
                                          </a:nvSpPr>
                                          <a:spPr>
                                            <a:xfrm>
                                              <a:off x="-351972" y="3657600"/>
                                              <a:ext cx="20574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algn="ctr"/>
                                                <a:r>
                                                  <a:rPr lang="en-US" sz="1400" dirty="0" smtClean="0">
                                                    <a:solidFill>
                                                      <a:schemeClr val="tx2"/>
                                                    </a:solidFill>
                                                  </a:rPr>
                                                  <a:t>July 19, 2013</a:t>
                                                </a:r>
                                                <a:endParaRPr lang="en-US" sz="1400" dirty="0">
                                                  <a:solidFill>
                                                    <a:schemeClr val="tx2"/>
                                                  </a:solidFill>
                                                </a:endParaRPr>
                                              </a:p>
                                            </a:txBody>
                                            <a:useSpRect/>
                                          </a:txSp>
                                        </a:sp>
                                        <a:sp>
                                          <a:nvSpPr>
                                            <a:cNvPr id="90" name="TextBox 89"/>
                                            <a:cNvSpPr txBox="1"/>
                                          </a:nvSpPr>
                                          <a:spPr>
                                            <a:xfrm>
                                              <a:off x="1277256" y="3661230"/>
                                              <a:ext cx="20574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algn="ctr"/>
                                                <a:r>
                                                  <a:rPr lang="en-US" sz="1400" dirty="0" smtClean="0">
                                                    <a:solidFill>
                                                      <a:schemeClr val="tx2"/>
                                                    </a:solidFill>
                                                  </a:rPr>
                                                  <a:t>January 15, 2014</a:t>
                                                </a:r>
                                                <a:endParaRPr lang="en-US" sz="1400" dirty="0">
                                                  <a:solidFill>
                                                    <a:schemeClr val="tx2"/>
                                                  </a:solidFill>
                                                </a:endParaRPr>
                                              </a:p>
                                            </a:txBody>
                                            <a:useSpRect/>
                                          </a:txSp>
                                        </a:sp>
                                        <a:sp>
                                          <a:nvSpPr>
                                            <a:cNvPr id="92" name="TextBox 91"/>
                                            <a:cNvSpPr txBox="1"/>
                                          </a:nvSpPr>
                                          <a:spPr>
                                            <a:xfrm>
                                              <a:off x="4082142" y="1480458"/>
                                              <a:ext cx="20574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algn="ctr"/>
                                                <a:r>
                                                  <a:rPr lang="en-US" sz="1400" dirty="0" smtClean="0">
                                                    <a:solidFill>
                                                      <a:schemeClr val="tx2"/>
                                                    </a:solidFill>
                                                  </a:rPr>
                                                  <a:t>January 15, 2015</a:t>
                                                </a:r>
                                                <a:endParaRPr lang="en-US" sz="1400" dirty="0">
                                                  <a:solidFill>
                                                    <a:schemeClr val="tx2"/>
                                                  </a:solidFill>
                                                </a:endParaRPr>
                                              </a:p>
                                            </a:txBody>
                                            <a:useSpRect/>
                                          </a:txSp>
                                        </a:sp>
                                        <a:sp>
                                          <a:nvSpPr>
                                            <a:cNvPr id="93" name="TextBox 92"/>
                                            <a:cNvSpPr txBox="1"/>
                                          </a:nvSpPr>
                                          <a:spPr>
                                            <a:xfrm>
                                              <a:off x="5486400" y="4053114"/>
                                              <a:ext cx="20574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algn="ctr"/>
                                                <a:r>
                                                  <a:rPr lang="en-US" sz="1400" dirty="0" smtClean="0">
                                                    <a:solidFill>
                                                      <a:schemeClr val="tx2"/>
                                                    </a:solidFill>
                                                  </a:rPr>
                                                  <a:t>July 14, 2015</a:t>
                                                </a:r>
                                                <a:endParaRPr lang="en-US" sz="1400" dirty="0">
                                                  <a:solidFill>
                                                    <a:schemeClr val="tx2"/>
                                                  </a:solidFill>
                                                </a:endParaRPr>
                                              </a:p>
                                            </a:txBody>
                                            <a:useSpRect/>
                                          </a:txSp>
                                        </a:sp>
                                      </lc:lockedCanvas>
                                    </a:graphicData>
                                  </a:graphic>
                                </wp:inline>
                              </w:drawing>
                            </w:r>
                          </w:p>
                          <w:p w:rsidR="00173E8D" w:rsidRPr="00095224" w:rsidRDefault="00173E8D" w:rsidP="00095224">
                            <w:pPr>
                              <w:rPr>
                                <w:rFonts w:ascii="Times New Roman" w:hAnsi="Times New Roman" w:cs="Times New Roman"/>
                              </w:rPr>
                            </w:pPr>
                            <w:r w:rsidRPr="00095224">
                              <w:rPr>
                                <w:rFonts w:ascii="Times New Roman" w:hAnsi="Times New Roman" w:cs="Times New Roman"/>
                                <w:sz w:val="20"/>
                                <w:szCs w:val="20"/>
                              </w:rPr>
                              <w:t>Transition Period One (TP1)</w:t>
                            </w:r>
                          </w:p>
                          <w:p w:rsidR="00173E8D" w:rsidRPr="00095224" w:rsidRDefault="00173E8D" w:rsidP="00095224">
                            <w:pPr>
                              <w:pStyle w:val="ListParagraph"/>
                              <w:numPr>
                                <w:ilvl w:val="0"/>
                                <w:numId w:val="11"/>
                              </w:numPr>
                              <w:contextualSpacing w:val="0"/>
                              <w:rPr>
                                <w:rFonts w:ascii="Times New Roman" w:hAnsi="Times New Roman" w:cs="Times New Roman"/>
                                <w:sz w:val="20"/>
                                <w:szCs w:val="20"/>
                              </w:rPr>
                            </w:pPr>
                            <w:r w:rsidRPr="00095224">
                              <w:rPr>
                                <w:rFonts w:ascii="Times New Roman" w:hAnsi="Times New Roman" w:cs="Times New Roman"/>
                                <w:sz w:val="20"/>
                                <w:szCs w:val="20"/>
                              </w:rPr>
                              <w:t>Major regulated projects comply with storm</w:t>
                            </w:r>
                            <w:r w:rsidR="009837DA">
                              <w:rPr>
                                <w:rFonts w:ascii="Times New Roman" w:hAnsi="Times New Roman" w:cs="Times New Roman"/>
                                <w:sz w:val="20"/>
                                <w:szCs w:val="20"/>
                              </w:rPr>
                              <w:t>w</w:t>
                            </w:r>
                            <w:r w:rsidRPr="00095224">
                              <w:rPr>
                                <w:rFonts w:ascii="Times New Roman" w:hAnsi="Times New Roman" w:cs="Times New Roman"/>
                                <w:sz w:val="20"/>
                                <w:szCs w:val="20"/>
                              </w:rPr>
                              <w:t>ater regulations in place before Final Rule.</w:t>
                            </w:r>
                          </w:p>
                          <w:p w:rsidR="00173E8D" w:rsidRPr="00095224" w:rsidRDefault="00173E8D" w:rsidP="00095224">
                            <w:pPr>
                              <w:pStyle w:val="ListParagraph"/>
                              <w:rPr>
                                <w:rFonts w:ascii="Times New Roman" w:hAnsi="Times New Roman" w:cs="Times New Roman"/>
                                <w:sz w:val="20"/>
                                <w:szCs w:val="20"/>
                              </w:rPr>
                            </w:pPr>
                          </w:p>
                          <w:p w:rsidR="00173E8D" w:rsidRPr="00095224" w:rsidRDefault="00173E8D" w:rsidP="00095224">
                            <w:pPr>
                              <w:rPr>
                                <w:rFonts w:ascii="Times New Roman" w:hAnsi="Times New Roman" w:cs="Times New Roman"/>
                                <w:sz w:val="20"/>
                                <w:szCs w:val="20"/>
                              </w:rPr>
                            </w:pPr>
                            <w:r w:rsidRPr="00095224">
                              <w:rPr>
                                <w:rFonts w:ascii="Times New Roman" w:hAnsi="Times New Roman" w:cs="Times New Roman"/>
                                <w:sz w:val="20"/>
                                <w:szCs w:val="20"/>
                              </w:rPr>
                              <w:t xml:space="preserve">Transition Period Two A (TP2A) for Major Land-Disturbing Activities and </w:t>
                            </w:r>
                          </w:p>
                          <w:p w:rsidR="00173E8D" w:rsidRPr="00095224" w:rsidRDefault="00173E8D" w:rsidP="00095224">
                            <w:pPr>
                              <w:rPr>
                                <w:rFonts w:ascii="Times New Roman" w:hAnsi="Times New Roman" w:cs="Times New Roman"/>
                                <w:sz w:val="20"/>
                                <w:szCs w:val="20"/>
                              </w:rPr>
                            </w:pPr>
                            <w:r w:rsidRPr="00095224">
                              <w:rPr>
                                <w:rFonts w:ascii="Times New Roman" w:hAnsi="Times New Roman" w:cs="Times New Roman"/>
                                <w:sz w:val="20"/>
                                <w:szCs w:val="20"/>
                              </w:rPr>
                              <w:t>Transition Period Two B (TP2B) for Major Substantial Improvement Activities</w:t>
                            </w:r>
                          </w:p>
                          <w:p w:rsidR="00173E8D" w:rsidRPr="00095224" w:rsidRDefault="00173E8D" w:rsidP="00095224">
                            <w:pPr>
                              <w:pStyle w:val="ListParagraph"/>
                              <w:numPr>
                                <w:ilvl w:val="0"/>
                                <w:numId w:val="11"/>
                              </w:numPr>
                              <w:contextualSpacing w:val="0"/>
                              <w:rPr>
                                <w:rFonts w:ascii="Times New Roman" w:hAnsi="Times New Roman" w:cs="Times New Roman"/>
                                <w:sz w:val="20"/>
                                <w:szCs w:val="20"/>
                              </w:rPr>
                            </w:pPr>
                            <w:r w:rsidRPr="00095224">
                              <w:rPr>
                                <w:rFonts w:ascii="Times New Roman" w:hAnsi="Times New Roman" w:cs="Times New Roman"/>
                                <w:sz w:val="20"/>
                                <w:szCs w:val="20"/>
                              </w:rPr>
                              <w:t>Minimum on-site retention requirement waived.  Entire retention volume may be achieved off site.</w:t>
                            </w:r>
                          </w:p>
                          <w:p w:rsidR="00173E8D" w:rsidRPr="00095224" w:rsidRDefault="00173E8D" w:rsidP="00095224">
                            <w:pPr>
                              <w:pStyle w:val="ListParagraph"/>
                              <w:numPr>
                                <w:ilvl w:val="0"/>
                                <w:numId w:val="11"/>
                              </w:numPr>
                              <w:contextualSpacing w:val="0"/>
                              <w:rPr>
                                <w:rFonts w:ascii="Times New Roman" w:hAnsi="Times New Roman" w:cs="Times New Roman"/>
                                <w:sz w:val="20"/>
                                <w:szCs w:val="20"/>
                              </w:rPr>
                            </w:pPr>
                            <w:r w:rsidRPr="00095224">
                              <w:rPr>
                                <w:rFonts w:ascii="Times New Roman" w:hAnsi="Times New Roman" w:cs="Times New Roman"/>
                                <w:sz w:val="20"/>
                                <w:szCs w:val="20"/>
                              </w:rPr>
                              <w:t>Minimum on-site treatment required per the Final Rule, as applicable.</w:t>
                            </w:r>
                          </w:p>
                          <w:p w:rsidR="00173E8D" w:rsidRPr="00095224" w:rsidRDefault="00173E8D" w:rsidP="00095224">
                            <w:pPr>
                              <w:pStyle w:val="ListParagraph"/>
                              <w:rPr>
                                <w:rFonts w:ascii="Times New Roman" w:hAnsi="Times New Roman" w:cs="Times New Roman"/>
                                <w:sz w:val="20"/>
                                <w:szCs w:val="20"/>
                              </w:rPr>
                            </w:pPr>
                          </w:p>
                          <w:p w:rsidR="00173E8D" w:rsidRPr="00095224" w:rsidRDefault="00173E8D" w:rsidP="00095224">
                            <w:pPr>
                              <w:rPr>
                                <w:rFonts w:ascii="Times New Roman" w:hAnsi="Times New Roman" w:cs="Times New Roman"/>
                                <w:sz w:val="20"/>
                                <w:szCs w:val="20"/>
                              </w:rPr>
                            </w:pPr>
                            <w:r w:rsidRPr="00095224">
                              <w:rPr>
                                <w:rFonts w:ascii="Times New Roman" w:hAnsi="Times New Roman" w:cs="Times New Roman"/>
                                <w:sz w:val="20"/>
                                <w:szCs w:val="20"/>
                              </w:rPr>
                              <w:t>Exceptions:</w:t>
                            </w:r>
                          </w:p>
                          <w:p w:rsidR="00173E8D" w:rsidRPr="00095224" w:rsidRDefault="00173E8D" w:rsidP="00095224">
                            <w:pPr>
                              <w:pStyle w:val="ListParagraph"/>
                              <w:numPr>
                                <w:ilvl w:val="1"/>
                                <w:numId w:val="12"/>
                              </w:numPr>
                              <w:ind w:left="720"/>
                              <w:contextualSpacing w:val="0"/>
                              <w:rPr>
                                <w:rFonts w:ascii="Times New Roman" w:hAnsi="Times New Roman" w:cs="Times New Roman"/>
                                <w:sz w:val="20"/>
                                <w:szCs w:val="20"/>
                              </w:rPr>
                            </w:pPr>
                            <w:r w:rsidRPr="00095224">
                              <w:rPr>
                                <w:rFonts w:ascii="Times New Roman" w:hAnsi="Times New Roman" w:cs="Times New Roman"/>
                                <w:sz w:val="20"/>
                                <w:szCs w:val="20"/>
                              </w:rPr>
                              <w:t xml:space="preserve">Areas of projects for which an Advanced Design (AD) has been submitted and for which approval has not expired shall comply with the stormwater management requirements in place at the time of submittal. </w:t>
                            </w:r>
                          </w:p>
                          <w:p w:rsidR="00173E8D" w:rsidRPr="00095224" w:rsidRDefault="00173E8D" w:rsidP="00095224">
                            <w:pPr>
                              <w:pStyle w:val="ListParagraph"/>
                              <w:numPr>
                                <w:ilvl w:val="1"/>
                                <w:numId w:val="12"/>
                              </w:numPr>
                              <w:ind w:left="720"/>
                              <w:contextualSpacing w:val="0"/>
                              <w:rPr>
                                <w:rFonts w:ascii="Times New Roman" w:hAnsi="Times New Roman" w:cs="Times New Roman"/>
                                <w:sz w:val="20"/>
                                <w:szCs w:val="20"/>
                              </w:rPr>
                            </w:pPr>
                            <w:r w:rsidRPr="00095224">
                              <w:rPr>
                                <w:rFonts w:ascii="Times New Roman" w:hAnsi="Times New Roman" w:cs="Times New Roman"/>
                                <w:sz w:val="20"/>
                                <w:szCs w:val="20"/>
                              </w:rPr>
                              <w:t>Areas of multi-phased projects for which all stormwater infrastructure and BMPs are installed in compliance with a DDOE-approved SWMP during an earlier phase of construction shall be deemed to have met the stormwater management requirements.</w:t>
                            </w:r>
                          </w:p>
                          <w:p w:rsidR="00173E8D" w:rsidRPr="00095224" w:rsidRDefault="00173E8D" w:rsidP="00095224">
                            <w:pPr>
                              <w:pStyle w:val="ListParagraph"/>
                              <w:numPr>
                                <w:ilvl w:val="1"/>
                                <w:numId w:val="12"/>
                              </w:numPr>
                              <w:ind w:left="720"/>
                              <w:contextualSpacing w:val="0"/>
                              <w:rPr>
                                <w:rFonts w:ascii="Times New Roman" w:hAnsi="Times New Roman" w:cs="Times New Roman"/>
                                <w:sz w:val="20"/>
                                <w:szCs w:val="20"/>
                              </w:rPr>
                            </w:pPr>
                            <w:r w:rsidRPr="00095224">
                              <w:rPr>
                                <w:rFonts w:ascii="Times New Roman" w:hAnsi="Times New Roman" w:cs="Times New Roman"/>
                                <w:sz w:val="20"/>
                                <w:szCs w:val="20"/>
                              </w:rPr>
                              <w:t xml:space="preserve">Projects for which an unexpired approval listed below conflicts with the installation of a retention BMP can use evidence of that conflict in applying for relief from the minimum on-site retention requirement, provided that the project applied for the unexpired approval before the end of TP2A for a major regulated project or the end of TP2B for a major substantial improvement activity: </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Concept review by the Historic Preservation Review Board;</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Concept review by the Commission on Fine Arts;</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Preliminary or final design submission by the National Capital Planning Commission; or</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Variance or special exception from the Board of Zoning Adjustment.</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Large Tract Review by the District Office of Planning.</w:t>
                            </w:r>
                          </w:p>
                          <w:p w:rsidR="00173E8D" w:rsidRPr="00095224" w:rsidRDefault="00173E8D" w:rsidP="00095224">
                            <w:pPr>
                              <w:pStyle w:val="ListParagraph"/>
                              <w:ind w:left="1080"/>
                              <w:rPr>
                                <w:rFonts w:ascii="Times New Roman" w:hAnsi="Times New Roman" w:cs="Times New Roman"/>
                                <w:sz w:val="20"/>
                                <w:szCs w:val="20"/>
                              </w:rPr>
                            </w:pPr>
                          </w:p>
                          <w:p w:rsidR="00173E8D" w:rsidRPr="00095224" w:rsidRDefault="00173E8D" w:rsidP="00095224">
                            <w:pPr>
                              <w:rPr>
                                <w:rFonts w:ascii="Times New Roman" w:hAnsi="Times New Roman" w:cs="Times New Roman"/>
                                <w:b/>
                                <w:sz w:val="20"/>
                                <w:szCs w:val="20"/>
                              </w:rPr>
                            </w:pPr>
                            <w:r w:rsidRPr="00095224">
                              <w:rPr>
                                <w:rFonts w:ascii="Times New Roman" w:hAnsi="Times New Roman" w:cs="Times New Roman"/>
                                <w:sz w:val="20"/>
                                <w:szCs w:val="20"/>
                              </w:rPr>
                              <w:t xml:space="preserve">  </w:t>
                            </w:r>
                            <w:r w:rsidRPr="00095224">
                              <w:rPr>
                                <w:rFonts w:ascii="Times New Roman" w:hAnsi="Times New Roman" w:cs="Times New Roman"/>
                                <w:b/>
                                <w:sz w:val="20"/>
                                <w:szCs w:val="20"/>
                              </w:rPr>
                              <w:t>Figure 1:  DDOE Transition Plan for Stormwater Management Performance Requirements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5pt;margin-top:231.05pt;width:477.65pt;height:4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">
                <v:textbox inset="3.6pt,,3.6pt">
                  <w:txbxContent>
                    <w:p w:rsidR="00173E8D" w:rsidRDefault="00173E8D" w:rsidP="00095224">
                      <w:pPr>
                        <w:jc w:val="center"/>
                      </w:pPr>
                      <w:r>
                        <w:rPr>
                          <w:noProof/>
                        </w:rPr>
                        <w:drawing>
                          <wp:inline distT="0" distB="0" distL="0" distR="0">
                            <wp:extent cx="5979160" cy="2131060"/>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05472" cy="3290461"/>
                                      <a:chOff x="-351972" y="1070430"/>
                                      <a:chExt cx="9305472" cy="3290461"/>
                                    </a:xfrm>
                                  </a:grpSpPr>
                                  <a:sp>
                                    <a:nvSpPr>
                                      <a:cNvPr id="7174" name="Line 69"/>
                                      <a:cNvSpPr>
                                        <a:spLocks noChangeShapeType="1"/>
                                      </a:cNvSpPr>
                                    </a:nvSpPr>
                                    <a:spPr bwMode="auto">
                                      <a:xfrm>
                                        <a:off x="112713" y="2593975"/>
                                        <a:ext cx="8840787" cy="11113"/>
                                      </a:xfrm>
                                      <a:prstGeom prst="line">
                                        <a:avLst/>
                                      </a:prstGeom>
                                      <a:noFill/>
                                      <a:ln w="63500">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75" name="Line 71"/>
                                      <a:cNvSpPr>
                                        <a:spLocks noChangeShapeType="1"/>
                                      </a:cNvSpPr>
                                    </a:nvSpPr>
                                    <a:spPr bwMode="auto">
                                      <a:xfrm rot="10800000">
                                        <a:off x="2286000" y="1741488"/>
                                        <a:ext cx="12700" cy="1878012"/>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76" name="Line 78"/>
                                      <a:cNvSpPr>
                                        <a:spLocks noChangeShapeType="1"/>
                                      </a:cNvSpPr>
                                    </a:nvSpPr>
                                    <a:spPr bwMode="auto">
                                      <a:xfrm rot="10800000" flipH="1">
                                        <a:off x="609599" y="1828800"/>
                                        <a:ext cx="0" cy="1743075"/>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77" name="Line 84"/>
                                      <a:cNvSpPr>
                                        <a:spLocks noChangeShapeType="1"/>
                                      </a:cNvSpPr>
                                    </a:nvSpPr>
                                    <a:spPr bwMode="auto">
                                      <a:xfrm flipH="1">
                                        <a:off x="609600" y="2743200"/>
                                        <a:ext cx="1676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78" name="Rectangle 85"/>
                                      <a:cNvSpPr>
                                        <a:spLocks/>
                                      </a:cNvSpPr>
                                    </a:nvSpPr>
                                    <a:spPr bwMode="auto">
                                      <a:xfrm>
                                        <a:off x="1600200" y="1219200"/>
                                        <a:ext cx="13716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r>
                                            <a:rPr lang="en-US" sz="1400">
                                              <a:solidFill>
                                                <a:schemeClr val="tx2"/>
                                              </a:solidFill>
                                              <a:latin typeface="Arial Bold" charset="0"/>
                                              <a:cs typeface="Arial Bold" charset="0"/>
                                              <a:sym typeface="Arial Bold" charset="0"/>
                                            </a:rPr>
                                            <a:t>Transition Period 1 ends</a:t>
                                          </a:r>
                                        </a:p>
                                      </a:txBody>
                                      <a:useSpRect/>
                                    </a:txSp>
                                  </a:sp>
                                  <a:sp>
                                    <a:nvSpPr>
                                      <a:cNvPr id="7179" name="Rectangle 91"/>
                                      <a:cNvSpPr>
                                        <a:spLocks/>
                                      </a:cNvSpPr>
                                    </a:nvSpPr>
                                    <a:spPr bwMode="auto">
                                      <a:xfrm>
                                        <a:off x="3657600" y="2924175"/>
                                        <a:ext cx="17526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Transition Period 2B 545 Days</a:t>
                                          </a:r>
                                        </a:p>
                                      </a:txBody>
                                      <a:useSpRect/>
                                    </a:txSp>
                                  </a:sp>
                                  <a:sp>
                                    <a:nvSpPr>
                                      <a:cNvPr id="7180" name="Line 92"/>
                                      <a:cNvSpPr>
                                        <a:spLocks noChangeShapeType="1"/>
                                      </a:cNvSpPr>
                                    </a:nvSpPr>
                                    <a:spPr bwMode="auto">
                                      <a:xfrm rot="10800000">
                                        <a:off x="2286000" y="2819400"/>
                                        <a:ext cx="41910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81" name="Line 94"/>
                                      <a:cNvSpPr>
                                        <a:spLocks noChangeShapeType="1"/>
                                      </a:cNvSpPr>
                                    </a:nvSpPr>
                                    <a:spPr bwMode="auto">
                                      <a:xfrm rot="10800000" flipH="1">
                                        <a:off x="5105400" y="1752600"/>
                                        <a:ext cx="0" cy="838200"/>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82" name="Rectangle 95"/>
                                      <a:cNvSpPr>
                                        <a:spLocks/>
                                      </a:cNvSpPr>
                                    </a:nvSpPr>
                                    <a:spPr bwMode="auto">
                                      <a:xfrm>
                                        <a:off x="-19958" y="1244600"/>
                                        <a:ext cx="13589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dirty="0">
                                              <a:solidFill>
                                                <a:schemeClr val="tx2"/>
                                              </a:solidFill>
                                              <a:latin typeface="Arial Bold" charset="0"/>
                                              <a:cs typeface="Arial Bold" charset="0"/>
                                              <a:sym typeface="Arial Bold" charset="0"/>
                                            </a:rPr>
                                            <a:t>Final Rule Published</a:t>
                                          </a:r>
                                        </a:p>
                                      </a:txBody>
                                      <a:useSpRect/>
                                    </a:txSp>
                                  </a:sp>
                                  <a:sp>
                                    <a:nvSpPr>
                                      <a:cNvPr id="7183" name="Rectangle 83"/>
                                      <a:cNvSpPr>
                                        <a:spLocks/>
                                      </a:cNvSpPr>
                                    </a:nvSpPr>
                                    <a:spPr bwMode="auto">
                                      <a:xfrm>
                                        <a:off x="533400" y="2913063"/>
                                        <a:ext cx="18288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dirty="0">
                                              <a:solidFill>
                                                <a:schemeClr val="tx2"/>
                                              </a:solidFill>
                                              <a:cs typeface="Arial" charset="0"/>
                                            </a:rPr>
                                            <a:t>Transition Period 1 180 days</a:t>
                                          </a:r>
                                        </a:p>
                                      </a:txBody>
                                      <a:useSpRect/>
                                    </a:txSp>
                                  </a:sp>
                                  <a:sp>
                                    <a:nvSpPr>
                                      <a:cNvPr id="99" name="Line 1"/>
                                      <a:cNvSpPr>
                                        <a:spLocks noChangeShapeType="1"/>
                                      </a:cNvSpPr>
                                    </a:nvSpPr>
                                    <a:spPr bwMode="auto">
                                      <a:xfrm rot="10800000" flipV="1">
                                        <a:off x="5105400" y="1905000"/>
                                        <a:ext cx="37338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86" name="Rectangle 91"/>
                                      <a:cNvSpPr>
                                        <a:spLocks/>
                                      </a:cNvSpPr>
                                    </a:nvSpPr>
                                    <a:spPr bwMode="auto">
                                      <a:xfrm>
                                        <a:off x="5486400" y="2006600"/>
                                        <a:ext cx="29718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Fully effective for Major Land Disturbing Activities</a:t>
                                          </a:r>
                                        </a:p>
                                      </a:txBody>
                                      <a:useSpRect/>
                                    </a:txSp>
                                  </a:sp>
                                  <a:sp>
                                    <a:nvSpPr>
                                      <a:cNvPr id="7187" name="Rectangle 91"/>
                                      <a:cNvSpPr>
                                        <a:spLocks/>
                                      </a:cNvSpPr>
                                    </a:nvSpPr>
                                    <a:spPr bwMode="auto">
                                      <a:xfrm>
                                        <a:off x="2743200" y="1981200"/>
                                        <a:ext cx="19812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Transition Period 2A 365 Days</a:t>
                                          </a:r>
                                        </a:p>
                                      </a:txBody>
                                      <a:useSpRect/>
                                    </a:txSp>
                                  </a:sp>
                                  <a:sp>
                                    <a:nvSpPr>
                                      <a:cNvPr id="7188" name="Line 92"/>
                                      <a:cNvSpPr>
                                        <a:spLocks noChangeShapeType="1"/>
                                      </a:cNvSpPr>
                                    </a:nvSpPr>
                                    <a:spPr bwMode="auto">
                                      <a:xfrm rot="10800000">
                                        <a:off x="2286000" y="1905000"/>
                                        <a:ext cx="2819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89" name="Line 94"/>
                                      <a:cNvSpPr>
                                        <a:spLocks noChangeShapeType="1"/>
                                      </a:cNvSpPr>
                                    </a:nvSpPr>
                                    <a:spPr bwMode="auto">
                                      <a:xfrm rot="10800000" flipH="1">
                                        <a:off x="6477000" y="2590800"/>
                                        <a:ext cx="0" cy="990600"/>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90" name="Rectangle 91"/>
                                      <a:cNvSpPr>
                                        <a:spLocks/>
                                      </a:cNvSpPr>
                                    </a:nvSpPr>
                                    <a:spPr bwMode="auto">
                                      <a:xfrm>
                                        <a:off x="6629400" y="2921000"/>
                                        <a:ext cx="21336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Fully effective for Major Substantial Improvements</a:t>
                                          </a:r>
                                        </a:p>
                                      </a:txBody>
                                      <a:useSpRect/>
                                    </a:txSp>
                                  </a:sp>
                                  <a:sp>
                                    <a:nvSpPr>
                                      <a:cNvPr id="91" name="Line 1"/>
                                      <a:cNvSpPr>
                                        <a:spLocks noChangeShapeType="1"/>
                                      </a:cNvSpPr>
                                    </a:nvSpPr>
                                    <a:spPr bwMode="auto">
                                      <a:xfrm rot="10800000">
                                        <a:off x="6477000" y="2743200"/>
                                        <a:ext cx="2438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p>
                                      </a:txBody>
                                      <a:useSpRect/>
                                    </a:txSp>
                                  </a:sp>
                                  <a:sp>
                                    <a:nvSpPr>
                                      <a:cNvPr id="7192" name="Rectangle 85"/>
                                      <a:cNvSpPr>
                                        <a:spLocks/>
                                      </a:cNvSpPr>
                                    </a:nvSpPr>
                                    <a:spPr bwMode="auto">
                                      <a:xfrm>
                                        <a:off x="4419600" y="1070430"/>
                                        <a:ext cx="13716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r>
                                            <a:rPr lang="en-US" sz="1400" dirty="0">
                                              <a:solidFill>
                                                <a:schemeClr val="tx2"/>
                                              </a:solidFill>
                                              <a:latin typeface="Arial Bold" charset="0"/>
                                              <a:cs typeface="Arial Bold" charset="0"/>
                                              <a:sym typeface="Arial Bold" charset="0"/>
                                            </a:rPr>
                                            <a:t>Transition Period 2A ends</a:t>
                                          </a:r>
                                        </a:p>
                                      </a:txBody>
                                      <a:useSpRect/>
                                    </a:txSp>
                                  </a:sp>
                                  <a:sp>
                                    <a:nvSpPr>
                                      <a:cNvPr id="7193" name="Rectangle 85"/>
                                      <a:cNvSpPr>
                                        <a:spLocks/>
                                      </a:cNvSpPr>
                                    </a:nvSpPr>
                                    <a:spPr bwMode="auto">
                                      <a:xfrm>
                                        <a:off x="5791200" y="3657600"/>
                                        <a:ext cx="1447800" cy="2286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r>
                                            <a:rPr lang="en-US" sz="1400">
                                              <a:solidFill>
                                                <a:schemeClr val="tx2"/>
                                              </a:solidFill>
                                              <a:latin typeface="Arial Bold" charset="0"/>
                                              <a:cs typeface="Arial Bold" charset="0"/>
                                              <a:sym typeface="Arial Bold" charset="0"/>
                                            </a:rPr>
                                            <a:t>Transition Period 2B ends</a:t>
                                          </a:r>
                                        </a:p>
                                      </a:txBody>
                                      <a:useSpRect/>
                                    </a:txSp>
                                  </a:sp>
                                  <a:sp>
                                    <a:nvSpPr>
                                      <a:cNvPr id="89" name="TextBox 88"/>
                                      <a:cNvSpPr txBox="1"/>
                                    </a:nvSpPr>
                                    <a:spPr>
                                      <a:xfrm>
                                        <a:off x="-351972" y="3657600"/>
                                        <a:ext cx="20574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algn="ctr"/>
                                          <a:r>
                                            <a:rPr lang="en-US" sz="1400" dirty="0" smtClean="0">
                                              <a:solidFill>
                                                <a:schemeClr val="tx2"/>
                                              </a:solidFill>
                                            </a:rPr>
                                            <a:t>July 19, 2013</a:t>
                                          </a:r>
                                          <a:endParaRPr lang="en-US" sz="1400" dirty="0">
                                            <a:solidFill>
                                              <a:schemeClr val="tx2"/>
                                            </a:solidFill>
                                          </a:endParaRPr>
                                        </a:p>
                                      </a:txBody>
                                      <a:useSpRect/>
                                    </a:txSp>
                                  </a:sp>
                                  <a:sp>
                                    <a:nvSpPr>
                                      <a:cNvPr id="90" name="TextBox 89"/>
                                      <a:cNvSpPr txBox="1"/>
                                    </a:nvSpPr>
                                    <a:spPr>
                                      <a:xfrm>
                                        <a:off x="1277256" y="3661230"/>
                                        <a:ext cx="20574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algn="ctr"/>
                                          <a:r>
                                            <a:rPr lang="en-US" sz="1400" dirty="0" smtClean="0">
                                              <a:solidFill>
                                                <a:schemeClr val="tx2"/>
                                              </a:solidFill>
                                            </a:rPr>
                                            <a:t>January 15, 2014</a:t>
                                          </a:r>
                                          <a:endParaRPr lang="en-US" sz="1400" dirty="0">
                                            <a:solidFill>
                                              <a:schemeClr val="tx2"/>
                                            </a:solidFill>
                                          </a:endParaRPr>
                                        </a:p>
                                      </a:txBody>
                                      <a:useSpRect/>
                                    </a:txSp>
                                  </a:sp>
                                  <a:sp>
                                    <a:nvSpPr>
                                      <a:cNvPr id="92" name="TextBox 91"/>
                                      <a:cNvSpPr txBox="1"/>
                                    </a:nvSpPr>
                                    <a:spPr>
                                      <a:xfrm>
                                        <a:off x="4082142" y="1480458"/>
                                        <a:ext cx="20574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algn="ctr"/>
                                          <a:r>
                                            <a:rPr lang="en-US" sz="1400" dirty="0" smtClean="0">
                                              <a:solidFill>
                                                <a:schemeClr val="tx2"/>
                                              </a:solidFill>
                                            </a:rPr>
                                            <a:t>January 15, 2015</a:t>
                                          </a:r>
                                          <a:endParaRPr lang="en-US" sz="1400" dirty="0">
                                            <a:solidFill>
                                              <a:schemeClr val="tx2"/>
                                            </a:solidFill>
                                          </a:endParaRPr>
                                        </a:p>
                                      </a:txBody>
                                      <a:useSpRect/>
                                    </a:txSp>
                                  </a:sp>
                                  <a:sp>
                                    <a:nvSpPr>
                                      <a:cNvPr id="93" name="TextBox 92"/>
                                      <a:cNvSpPr txBox="1"/>
                                    </a:nvSpPr>
                                    <a:spPr>
                                      <a:xfrm>
                                        <a:off x="5486400" y="4053114"/>
                                        <a:ext cx="20574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algn="ctr"/>
                                          <a:r>
                                            <a:rPr lang="en-US" sz="1400" dirty="0" smtClean="0">
                                              <a:solidFill>
                                                <a:schemeClr val="tx2"/>
                                              </a:solidFill>
                                            </a:rPr>
                                            <a:t>July 14, 2015</a:t>
                                          </a:r>
                                          <a:endParaRPr lang="en-US" sz="1400" dirty="0">
                                            <a:solidFill>
                                              <a:schemeClr val="tx2"/>
                                            </a:solidFill>
                                          </a:endParaRPr>
                                        </a:p>
                                      </a:txBody>
                                      <a:useSpRect/>
                                    </a:txSp>
                                  </a:sp>
                                </lc:lockedCanvas>
                              </a:graphicData>
                            </a:graphic>
                          </wp:inline>
                        </w:drawing>
                      </w:r>
                    </w:p>
                    <w:p w:rsidR="00173E8D" w:rsidRPr="00095224" w:rsidRDefault="00173E8D" w:rsidP="00095224">
                      <w:pPr>
                        <w:rPr>
                          <w:rFonts w:ascii="Times New Roman" w:hAnsi="Times New Roman" w:cs="Times New Roman"/>
                        </w:rPr>
                      </w:pPr>
                      <w:r w:rsidRPr="00095224">
                        <w:rPr>
                          <w:rFonts w:ascii="Times New Roman" w:hAnsi="Times New Roman" w:cs="Times New Roman"/>
                          <w:sz w:val="20"/>
                          <w:szCs w:val="20"/>
                        </w:rPr>
                        <w:t>Transition Period One (TP1)</w:t>
                      </w:r>
                    </w:p>
                    <w:p w:rsidR="00173E8D" w:rsidRPr="00095224" w:rsidRDefault="00173E8D" w:rsidP="00095224">
                      <w:pPr>
                        <w:pStyle w:val="ListParagraph"/>
                        <w:numPr>
                          <w:ilvl w:val="0"/>
                          <w:numId w:val="11"/>
                        </w:numPr>
                        <w:contextualSpacing w:val="0"/>
                        <w:rPr>
                          <w:rFonts w:ascii="Times New Roman" w:hAnsi="Times New Roman" w:cs="Times New Roman"/>
                          <w:sz w:val="20"/>
                          <w:szCs w:val="20"/>
                        </w:rPr>
                      </w:pPr>
                      <w:r w:rsidRPr="00095224">
                        <w:rPr>
                          <w:rFonts w:ascii="Times New Roman" w:hAnsi="Times New Roman" w:cs="Times New Roman"/>
                          <w:sz w:val="20"/>
                          <w:szCs w:val="20"/>
                        </w:rPr>
                        <w:t>Major regulated projects comply with storm</w:t>
                      </w:r>
                      <w:r w:rsidR="009837DA">
                        <w:rPr>
                          <w:rFonts w:ascii="Times New Roman" w:hAnsi="Times New Roman" w:cs="Times New Roman"/>
                          <w:sz w:val="20"/>
                          <w:szCs w:val="20"/>
                        </w:rPr>
                        <w:t>w</w:t>
                      </w:r>
                      <w:r w:rsidRPr="00095224">
                        <w:rPr>
                          <w:rFonts w:ascii="Times New Roman" w:hAnsi="Times New Roman" w:cs="Times New Roman"/>
                          <w:sz w:val="20"/>
                          <w:szCs w:val="20"/>
                        </w:rPr>
                        <w:t>ater regulations in place before Final Rule.</w:t>
                      </w:r>
                    </w:p>
                    <w:p w:rsidR="00173E8D" w:rsidRPr="00095224" w:rsidRDefault="00173E8D" w:rsidP="00095224">
                      <w:pPr>
                        <w:pStyle w:val="ListParagraph"/>
                        <w:rPr>
                          <w:rFonts w:ascii="Times New Roman" w:hAnsi="Times New Roman" w:cs="Times New Roman"/>
                          <w:sz w:val="20"/>
                          <w:szCs w:val="20"/>
                        </w:rPr>
                      </w:pPr>
                    </w:p>
                    <w:p w:rsidR="00173E8D" w:rsidRPr="00095224" w:rsidRDefault="00173E8D" w:rsidP="00095224">
                      <w:pPr>
                        <w:rPr>
                          <w:rFonts w:ascii="Times New Roman" w:hAnsi="Times New Roman" w:cs="Times New Roman"/>
                          <w:sz w:val="20"/>
                          <w:szCs w:val="20"/>
                        </w:rPr>
                      </w:pPr>
                      <w:r w:rsidRPr="00095224">
                        <w:rPr>
                          <w:rFonts w:ascii="Times New Roman" w:hAnsi="Times New Roman" w:cs="Times New Roman"/>
                          <w:sz w:val="20"/>
                          <w:szCs w:val="20"/>
                        </w:rPr>
                        <w:t xml:space="preserve">Transition Period Two A (TP2A) for Major Land-Disturbing Activities and </w:t>
                      </w:r>
                    </w:p>
                    <w:p w:rsidR="00173E8D" w:rsidRPr="00095224" w:rsidRDefault="00173E8D" w:rsidP="00095224">
                      <w:pPr>
                        <w:rPr>
                          <w:rFonts w:ascii="Times New Roman" w:hAnsi="Times New Roman" w:cs="Times New Roman"/>
                          <w:sz w:val="20"/>
                          <w:szCs w:val="20"/>
                        </w:rPr>
                      </w:pPr>
                      <w:r w:rsidRPr="00095224">
                        <w:rPr>
                          <w:rFonts w:ascii="Times New Roman" w:hAnsi="Times New Roman" w:cs="Times New Roman"/>
                          <w:sz w:val="20"/>
                          <w:szCs w:val="20"/>
                        </w:rPr>
                        <w:t>Transition Period Two B (TP2B) for Major Substantial Improvement Activities</w:t>
                      </w:r>
                    </w:p>
                    <w:p w:rsidR="00173E8D" w:rsidRPr="00095224" w:rsidRDefault="00173E8D" w:rsidP="00095224">
                      <w:pPr>
                        <w:pStyle w:val="ListParagraph"/>
                        <w:numPr>
                          <w:ilvl w:val="0"/>
                          <w:numId w:val="11"/>
                        </w:numPr>
                        <w:contextualSpacing w:val="0"/>
                        <w:rPr>
                          <w:rFonts w:ascii="Times New Roman" w:hAnsi="Times New Roman" w:cs="Times New Roman"/>
                          <w:sz w:val="20"/>
                          <w:szCs w:val="20"/>
                        </w:rPr>
                      </w:pPr>
                      <w:r w:rsidRPr="00095224">
                        <w:rPr>
                          <w:rFonts w:ascii="Times New Roman" w:hAnsi="Times New Roman" w:cs="Times New Roman"/>
                          <w:sz w:val="20"/>
                          <w:szCs w:val="20"/>
                        </w:rPr>
                        <w:t>Minimum on-site retention requirement waived.  Entire retention volume may be achieved off site.</w:t>
                      </w:r>
                    </w:p>
                    <w:p w:rsidR="00173E8D" w:rsidRPr="00095224" w:rsidRDefault="00173E8D" w:rsidP="00095224">
                      <w:pPr>
                        <w:pStyle w:val="ListParagraph"/>
                        <w:numPr>
                          <w:ilvl w:val="0"/>
                          <w:numId w:val="11"/>
                        </w:numPr>
                        <w:contextualSpacing w:val="0"/>
                        <w:rPr>
                          <w:rFonts w:ascii="Times New Roman" w:hAnsi="Times New Roman" w:cs="Times New Roman"/>
                          <w:sz w:val="20"/>
                          <w:szCs w:val="20"/>
                        </w:rPr>
                      </w:pPr>
                      <w:r w:rsidRPr="00095224">
                        <w:rPr>
                          <w:rFonts w:ascii="Times New Roman" w:hAnsi="Times New Roman" w:cs="Times New Roman"/>
                          <w:sz w:val="20"/>
                          <w:szCs w:val="20"/>
                        </w:rPr>
                        <w:t>Minimum on-site treatment required per the Final Rule, as applicable.</w:t>
                      </w:r>
                    </w:p>
                    <w:p w:rsidR="00173E8D" w:rsidRPr="00095224" w:rsidRDefault="00173E8D" w:rsidP="00095224">
                      <w:pPr>
                        <w:pStyle w:val="ListParagraph"/>
                        <w:rPr>
                          <w:rFonts w:ascii="Times New Roman" w:hAnsi="Times New Roman" w:cs="Times New Roman"/>
                          <w:sz w:val="20"/>
                          <w:szCs w:val="20"/>
                        </w:rPr>
                      </w:pPr>
                    </w:p>
                    <w:p w:rsidR="00173E8D" w:rsidRPr="00095224" w:rsidRDefault="00173E8D" w:rsidP="00095224">
                      <w:pPr>
                        <w:rPr>
                          <w:rFonts w:ascii="Times New Roman" w:hAnsi="Times New Roman" w:cs="Times New Roman"/>
                          <w:sz w:val="20"/>
                          <w:szCs w:val="20"/>
                        </w:rPr>
                      </w:pPr>
                      <w:r w:rsidRPr="00095224">
                        <w:rPr>
                          <w:rFonts w:ascii="Times New Roman" w:hAnsi="Times New Roman" w:cs="Times New Roman"/>
                          <w:sz w:val="20"/>
                          <w:szCs w:val="20"/>
                        </w:rPr>
                        <w:t>Exceptions:</w:t>
                      </w:r>
                    </w:p>
                    <w:p w:rsidR="00173E8D" w:rsidRPr="00095224" w:rsidRDefault="00173E8D" w:rsidP="00095224">
                      <w:pPr>
                        <w:pStyle w:val="ListParagraph"/>
                        <w:numPr>
                          <w:ilvl w:val="1"/>
                          <w:numId w:val="12"/>
                        </w:numPr>
                        <w:ind w:left="720"/>
                        <w:contextualSpacing w:val="0"/>
                        <w:rPr>
                          <w:rFonts w:ascii="Times New Roman" w:hAnsi="Times New Roman" w:cs="Times New Roman"/>
                          <w:sz w:val="20"/>
                          <w:szCs w:val="20"/>
                        </w:rPr>
                      </w:pPr>
                      <w:r w:rsidRPr="00095224">
                        <w:rPr>
                          <w:rFonts w:ascii="Times New Roman" w:hAnsi="Times New Roman" w:cs="Times New Roman"/>
                          <w:sz w:val="20"/>
                          <w:szCs w:val="20"/>
                        </w:rPr>
                        <w:t xml:space="preserve">Areas of projects for which an Advanced Design (AD) has been submitted and for which approval has not expired shall comply with the stormwater management requirements in place at the time of submittal. </w:t>
                      </w:r>
                    </w:p>
                    <w:p w:rsidR="00173E8D" w:rsidRPr="00095224" w:rsidRDefault="00173E8D" w:rsidP="00095224">
                      <w:pPr>
                        <w:pStyle w:val="ListParagraph"/>
                        <w:numPr>
                          <w:ilvl w:val="1"/>
                          <w:numId w:val="12"/>
                        </w:numPr>
                        <w:ind w:left="720"/>
                        <w:contextualSpacing w:val="0"/>
                        <w:rPr>
                          <w:rFonts w:ascii="Times New Roman" w:hAnsi="Times New Roman" w:cs="Times New Roman"/>
                          <w:sz w:val="20"/>
                          <w:szCs w:val="20"/>
                        </w:rPr>
                      </w:pPr>
                      <w:r w:rsidRPr="00095224">
                        <w:rPr>
                          <w:rFonts w:ascii="Times New Roman" w:hAnsi="Times New Roman" w:cs="Times New Roman"/>
                          <w:sz w:val="20"/>
                          <w:szCs w:val="20"/>
                        </w:rPr>
                        <w:t>Areas of multi-phased projects for which all stormwater infrastructure and BMPs are installed in compliance with a DDOE-approved SWMP during an earlier phase of construction shall be deemed to have met the stormwater management requirements.</w:t>
                      </w:r>
                    </w:p>
                    <w:p w:rsidR="00173E8D" w:rsidRPr="00095224" w:rsidRDefault="00173E8D" w:rsidP="00095224">
                      <w:pPr>
                        <w:pStyle w:val="ListParagraph"/>
                        <w:numPr>
                          <w:ilvl w:val="1"/>
                          <w:numId w:val="12"/>
                        </w:numPr>
                        <w:ind w:left="720"/>
                        <w:contextualSpacing w:val="0"/>
                        <w:rPr>
                          <w:rFonts w:ascii="Times New Roman" w:hAnsi="Times New Roman" w:cs="Times New Roman"/>
                          <w:sz w:val="20"/>
                          <w:szCs w:val="20"/>
                        </w:rPr>
                      </w:pPr>
                      <w:r w:rsidRPr="00095224">
                        <w:rPr>
                          <w:rFonts w:ascii="Times New Roman" w:hAnsi="Times New Roman" w:cs="Times New Roman"/>
                          <w:sz w:val="20"/>
                          <w:szCs w:val="20"/>
                        </w:rPr>
                        <w:t xml:space="preserve">Projects for which an unexpired approval listed below conflicts with the installation of a retention BMP can use evidence of that conflict in applying for relief from the minimum on-site retention requirement, provided that the project applied for the unexpired approval before the end of TP2A for a major regulated project or the end of TP2B for a major substantial improvement activity: </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Concept review by the Historic Preservation Review Board;</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Concept review by the Commission on Fine Arts;</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Preliminary or final design submission by the National Capital Planning Commission; or</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Variance or special exception from the Board of Zoning Adjustment.</w:t>
                      </w:r>
                    </w:p>
                    <w:p w:rsidR="00173E8D" w:rsidRPr="00095224" w:rsidRDefault="00173E8D" w:rsidP="00095224">
                      <w:pPr>
                        <w:pStyle w:val="ListParagraph"/>
                        <w:numPr>
                          <w:ilvl w:val="2"/>
                          <w:numId w:val="12"/>
                        </w:numPr>
                        <w:ind w:left="1080"/>
                        <w:contextualSpacing w:val="0"/>
                        <w:rPr>
                          <w:rFonts w:ascii="Times New Roman" w:hAnsi="Times New Roman" w:cs="Times New Roman"/>
                          <w:sz w:val="20"/>
                          <w:szCs w:val="20"/>
                        </w:rPr>
                      </w:pPr>
                      <w:r w:rsidRPr="00095224">
                        <w:rPr>
                          <w:rFonts w:ascii="Times New Roman" w:hAnsi="Times New Roman" w:cs="Times New Roman"/>
                          <w:sz w:val="20"/>
                          <w:szCs w:val="20"/>
                        </w:rPr>
                        <w:t>Large Tract Review by the District Office of Planning.</w:t>
                      </w:r>
                    </w:p>
                    <w:p w:rsidR="00173E8D" w:rsidRPr="00095224" w:rsidRDefault="00173E8D" w:rsidP="00095224">
                      <w:pPr>
                        <w:pStyle w:val="ListParagraph"/>
                        <w:ind w:left="1080"/>
                        <w:rPr>
                          <w:rFonts w:ascii="Times New Roman" w:hAnsi="Times New Roman" w:cs="Times New Roman"/>
                          <w:sz w:val="20"/>
                          <w:szCs w:val="20"/>
                        </w:rPr>
                      </w:pPr>
                    </w:p>
                    <w:p w:rsidR="00173E8D" w:rsidRPr="00095224" w:rsidRDefault="00173E8D" w:rsidP="00095224">
                      <w:pPr>
                        <w:rPr>
                          <w:rFonts w:ascii="Times New Roman" w:hAnsi="Times New Roman" w:cs="Times New Roman"/>
                          <w:b/>
                          <w:sz w:val="20"/>
                          <w:szCs w:val="20"/>
                        </w:rPr>
                      </w:pPr>
                      <w:r w:rsidRPr="00095224">
                        <w:rPr>
                          <w:rFonts w:ascii="Times New Roman" w:hAnsi="Times New Roman" w:cs="Times New Roman"/>
                          <w:sz w:val="20"/>
                          <w:szCs w:val="20"/>
                        </w:rPr>
                        <w:t xml:space="preserve">  </w:t>
                      </w:r>
                      <w:r w:rsidRPr="00095224">
                        <w:rPr>
                          <w:rFonts w:ascii="Times New Roman" w:hAnsi="Times New Roman" w:cs="Times New Roman"/>
                          <w:b/>
                          <w:sz w:val="20"/>
                          <w:szCs w:val="20"/>
                        </w:rPr>
                        <w:t>Figure 1:  DDOE Transition Plan for Stormwater Management Performance Requirements</w:t>
                      </w:r>
                    </w:p>
                  </w:txbxContent>
                </v:textbox>
                <w10:wrap type="square" anchorx="page" anchory="page"/>
              </v:shape>
            </w:pict>
          </mc:Fallback>
        </mc:AlternateContent>
      </w:r>
      <w:r w:rsidR="00F2603B" w:rsidRPr="009837DA">
        <w:rPr>
          <w:rFonts w:ascii="Times New Roman" w:hAnsi="Times New Roman" w:cs="Times New Roman"/>
          <w:sz w:val="23"/>
          <w:szCs w:val="23"/>
        </w:rPr>
        <w:t xml:space="preserve">Figure </w:t>
      </w:r>
      <w:r w:rsidR="00095224" w:rsidRPr="009837DA">
        <w:rPr>
          <w:rFonts w:ascii="Times New Roman" w:hAnsi="Times New Roman" w:cs="Times New Roman"/>
          <w:sz w:val="23"/>
          <w:szCs w:val="23"/>
        </w:rPr>
        <w:t>1 provides a summary of the transition plan.</w:t>
      </w:r>
    </w:p>
    <w:p w:rsidR="00095224" w:rsidRPr="00095224" w:rsidRDefault="00095224" w:rsidP="00095224">
      <w:pPr>
        <w:rPr>
          <w:rFonts w:ascii="Times New Roman" w:hAnsi="Times New Roman" w:cs="Times New Roman"/>
          <w:sz w:val="24"/>
          <w:szCs w:val="24"/>
        </w:rPr>
      </w:pPr>
    </w:p>
    <w:sectPr w:rsidR="00095224" w:rsidRPr="00095224" w:rsidSect="00C2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38B"/>
    <w:multiLevelType w:val="hybridMultilevel"/>
    <w:tmpl w:val="9CA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D64DF"/>
    <w:multiLevelType w:val="hybridMultilevel"/>
    <w:tmpl w:val="CF7A1BAA"/>
    <w:lvl w:ilvl="0" w:tplc="68C6078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0B851ECF"/>
    <w:multiLevelType w:val="hybridMultilevel"/>
    <w:tmpl w:val="35AC7E4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BB052B2"/>
    <w:multiLevelType w:val="hybridMultilevel"/>
    <w:tmpl w:val="B458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773029"/>
    <w:multiLevelType w:val="hybridMultilevel"/>
    <w:tmpl w:val="617C40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14F58"/>
    <w:multiLevelType w:val="hybridMultilevel"/>
    <w:tmpl w:val="1C6CB57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6">
    <w:nsid w:val="3BCA04A2"/>
    <w:multiLevelType w:val="hybridMultilevel"/>
    <w:tmpl w:val="C3CAC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085CEE"/>
    <w:multiLevelType w:val="hybridMultilevel"/>
    <w:tmpl w:val="269C7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B3833"/>
    <w:multiLevelType w:val="hybridMultilevel"/>
    <w:tmpl w:val="64245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F31D04"/>
    <w:multiLevelType w:val="hybridMultilevel"/>
    <w:tmpl w:val="94A03FC4"/>
    <w:lvl w:ilvl="0" w:tplc="06567716">
      <w:start w:val="1"/>
      <w:numFmt w:val="upperLetter"/>
      <w:lvlText w:val="%1)"/>
      <w:lvlJc w:val="left"/>
      <w:pPr>
        <w:ind w:left="1246" w:hanging="360"/>
      </w:pPr>
      <w:rPr>
        <w:rFont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0">
    <w:nsid w:val="74B21831"/>
    <w:multiLevelType w:val="hybridMultilevel"/>
    <w:tmpl w:val="75A23E32"/>
    <w:lvl w:ilvl="0" w:tplc="68C6078C">
      <w:start w:val="1"/>
      <w:numFmt w:val="decimal"/>
      <w:lvlText w:val="(%1)"/>
      <w:lvlJc w:val="left"/>
      <w:pPr>
        <w:ind w:left="1246" w:hanging="360"/>
      </w:pPr>
      <w:rPr>
        <w:rFont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1">
    <w:nsid w:val="7C6864AB"/>
    <w:multiLevelType w:val="hybridMultilevel"/>
    <w:tmpl w:val="605E736A"/>
    <w:lvl w:ilvl="0" w:tplc="06567716">
      <w:start w:val="1"/>
      <w:numFmt w:val="upperLetter"/>
      <w:lvlText w:val="%1)"/>
      <w:lvlJc w:val="left"/>
      <w:pPr>
        <w:ind w:left="1246" w:hanging="360"/>
      </w:pPr>
      <w:rPr>
        <w:rFont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9"/>
  </w:num>
  <w:num w:numId="6">
    <w:abstractNumId w:val="3"/>
  </w:num>
  <w:num w:numId="7">
    <w:abstractNumId w:val="6"/>
  </w:num>
  <w:num w:numId="8">
    <w:abstractNumId w:val="8"/>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32"/>
    <w:rsid w:val="00003679"/>
    <w:rsid w:val="00015EE0"/>
    <w:rsid w:val="00095224"/>
    <w:rsid w:val="000C3B6C"/>
    <w:rsid w:val="000D0AAF"/>
    <w:rsid w:val="000F55BE"/>
    <w:rsid w:val="001670E6"/>
    <w:rsid w:val="00173E8D"/>
    <w:rsid w:val="001758E3"/>
    <w:rsid w:val="001D6D6F"/>
    <w:rsid w:val="00222D0A"/>
    <w:rsid w:val="00237DC1"/>
    <w:rsid w:val="0025630E"/>
    <w:rsid w:val="002722C2"/>
    <w:rsid w:val="0027276D"/>
    <w:rsid w:val="0029444D"/>
    <w:rsid w:val="002C00A1"/>
    <w:rsid w:val="002F77D9"/>
    <w:rsid w:val="00357647"/>
    <w:rsid w:val="003B18D7"/>
    <w:rsid w:val="004C1F48"/>
    <w:rsid w:val="00550A12"/>
    <w:rsid w:val="00563957"/>
    <w:rsid w:val="00571CAA"/>
    <w:rsid w:val="005730A2"/>
    <w:rsid w:val="005B2C58"/>
    <w:rsid w:val="005B7BA0"/>
    <w:rsid w:val="00615CD1"/>
    <w:rsid w:val="006237C4"/>
    <w:rsid w:val="00683519"/>
    <w:rsid w:val="006875B9"/>
    <w:rsid w:val="006F1FA0"/>
    <w:rsid w:val="00707EC8"/>
    <w:rsid w:val="00711EB7"/>
    <w:rsid w:val="00726D64"/>
    <w:rsid w:val="007536C2"/>
    <w:rsid w:val="00874261"/>
    <w:rsid w:val="008D2791"/>
    <w:rsid w:val="00934DA8"/>
    <w:rsid w:val="00972D9A"/>
    <w:rsid w:val="009837DA"/>
    <w:rsid w:val="0099687E"/>
    <w:rsid w:val="00A20012"/>
    <w:rsid w:val="00A332A2"/>
    <w:rsid w:val="00A56304"/>
    <w:rsid w:val="00A65D9E"/>
    <w:rsid w:val="00A6768B"/>
    <w:rsid w:val="00A966D5"/>
    <w:rsid w:val="00AC32A8"/>
    <w:rsid w:val="00B32EDF"/>
    <w:rsid w:val="00B37632"/>
    <w:rsid w:val="00B42907"/>
    <w:rsid w:val="00B47B34"/>
    <w:rsid w:val="00B72368"/>
    <w:rsid w:val="00BD3D5A"/>
    <w:rsid w:val="00C05CB1"/>
    <w:rsid w:val="00C1498C"/>
    <w:rsid w:val="00C274D3"/>
    <w:rsid w:val="00CB1BDC"/>
    <w:rsid w:val="00CF05F2"/>
    <w:rsid w:val="00D30D4C"/>
    <w:rsid w:val="00D766C8"/>
    <w:rsid w:val="00DE2910"/>
    <w:rsid w:val="00E129BC"/>
    <w:rsid w:val="00E453A9"/>
    <w:rsid w:val="00E65FD5"/>
    <w:rsid w:val="00E82C1F"/>
    <w:rsid w:val="00ED2E64"/>
    <w:rsid w:val="00EF0AF9"/>
    <w:rsid w:val="00EF690D"/>
    <w:rsid w:val="00F07F86"/>
    <w:rsid w:val="00F139B5"/>
    <w:rsid w:val="00F2603B"/>
    <w:rsid w:val="00F53AB7"/>
    <w:rsid w:val="00F54137"/>
    <w:rsid w:val="00F5712D"/>
    <w:rsid w:val="00F930A7"/>
    <w:rsid w:val="00FA0176"/>
    <w:rsid w:val="00FB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632"/>
    <w:rPr>
      <w:color w:val="0000FF"/>
      <w:u w:val="single"/>
    </w:rPr>
  </w:style>
  <w:style w:type="paragraph" w:styleId="NoSpacing">
    <w:name w:val="No Spacing"/>
    <w:basedOn w:val="Normal"/>
    <w:uiPriority w:val="1"/>
    <w:qFormat/>
    <w:rsid w:val="00B37632"/>
  </w:style>
  <w:style w:type="paragraph" w:customStyle="1" w:styleId="xmsonormal">
    <w:name w:val="x_msonormal"/>
    <w:basedOn w:val="Normal"/>
    <w:rsid w:val="00B37632"/>
    <w:pPr>
      <w:spacing w:before="100" w:beforeAutospacing="1" w:after="100" w:afterAutospacing="1"/>
    </w:pPr>
    <w:rPr>
      <w:rFonts w:ascii="Times New Roman" w:hAnsi="Times New Roman" w:cs="Times New Roman"/>
      <w:sz w:val="24"/>
      <w:szCs w:val="24"/>
    </w:rPr>
  </w:style>
  <w:style w:type="paragraph" w:customStyle="1" w:styleId="xdefault">
    <w:name w:val="x_default"/>
    <w:basedOn w:val="Normal"/>
    <w:rsid w:val="00B37632"/>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B37632"/>
    <w:pPr>
      <w:autoSpaceDE w:val="0"/>
      <w:autoSpaceDN w:val="0"/>
    </w:pPr>
    <w:rPr>
      <w:color w:val="000000"/>
      <w:sz w:val="24"/>
      <w:szCs w:val="24"/>
    </w:rPr>
  </w:style>
  <w:style w:type="paragraph" w:styleId="BalloonText">
    <w:name w:val="Balloon Text"/>
    <w:basedOn w:val="Normal"/>
    <w:link w:val="BalloonTextChar"/>
    <w:uiPriority w:val="99"/>
    <w:semiHidden/>
    <w:unhideWhenUsed/>
    <w:rsid w:val="00B37632"/>
    <w:rPr>
      <w:rFonts w:ascii="Tahoma" w:hAnsi="Tahoma" w:cs="Tahoma"/>
      <w:sz w:val="16"/>
      <w:szCs w:val="16"/>
    </w:rPr>
  </w:style>
  <w:style w:type="character" w:customStyle="1" w:styleId="BalloonTextChar">
    <w:name w:val="Balloon Text Char"/>
    <w:basedOn w:val="DefaultParagraphFont"/>
    <w:link w:val="BalloonText"/>
    <w:uiPriority w:val="99"/>
    <w:semiHidden/>
    <w:rsid w:val="00B37632"/>
    <w:rPr>
      <w:rFonts w:ascii="Tahoma" w:hAnsi="Tahoma" w:cs="Tahoma"/>
      <w:sz w:val="16"/>
      <w:szCs w:val="16"/>
    </w:rPr>
  </w:style>
  <w:style w:type="paragraph" w:styleId="PlainText">
    <w:name w:val="Plain Text"/>
    <w:basedOn w:val="Normal"/>
    <w:link w:val="PlainTextChar"/>
    <w:uiPriority w:val="99"/>
    <w:unhideWhenUsed/>
    <w:rsid w:val="00B37632"/>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37632"/>
    <w:rPr>
      <w:rFonts w:ascii="Consolas" w:eastAsiaTheme="minorEastAsia" w:hAnsi="Consolas"/>
      <w:sz w:val="21"/>
      <w:szCs w:val="21"/>
    </w:rPr>
  </w:style>
  <w:style w:type="character" w:styleId="Strong">
    <w:name w:val="Strong"/>
    <w:basedOn w:val="DefaultParagraphFont"/>
    <w:uiPriority w:val="22"/>
    <w:qFormat/>
    <w:rsid w:val="0099687E"/>
    <w:rPr>
      <w:b/>
      <w:bCs/>
    </w:rPr>
  </w:style>
  <w:style w:type="paragraph" w:styleId="ListParagraph">
    <w:name w:val="List Paragraph"/>
    <w:basedOn w:val="Normal"/>
    <w:uiPriority w:val="34"/>
    <w:qFormat/>
    <w:rsid w:val="00237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632"/>
    <w:rPr>
      <w:color w:val="0000FF"/>
      <w:u w:val="single"/>
    </w:rPr>
  </w:style>
  <w:style w:type="paragraph" w:styleId="NoSpacing">
    <w:name w:val="No Spacing"/>
    <w:basedOn w:val="Normal"/>
    <w:uiPriority w:val="1"/>
    <w:qFormat/>
    <w:rsid w:val="00B37632"/>
  </w:style>
  <w:style w:type="paragraph" w:customStyle="1" w:styleId="xmsonormal">
    <w:name w:val="x_msonormal"/>
    <w:basedOn w:val="Normal"/>
    <w:rsid w:val="00B37632"/>
    <w:pPr>
      <w:spacing w:before="100" w:beforeAutospacing="1" w:after="100" w:afterAutospacing="1"/>
    </w:pPr>
    <w:rPr>
      <w:rFonts w:ascii="Times New Roman" w:hAnsi="Times New Roman" w:cs="Times New Roman"/>
      <w:sz w:val="24"/>
      <w:szCs w:val="24"/>
    </w:rPr>
  </w:style>
  <w:style w:type="paragraph" w:customStyle="1" w:styleId="xdefault">
    <w:name w:val="x_default"/>
    <w:basedOn w:val="Normal"/>
    <w:rsid w:val="00B37632"/>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B37632"/>
    <w:pPr>
      <w:autoSpaceDE w:val="0"/>
      <w:autoSpaceDN w:val="0"/>
    </w:pPr>
    <w:rPr>
      <w:color w:val="000000"/>
      <w:sz w:val="24"/>
      <w:szCs w:val="24"/>
    </w:rPr>
  </w:style>
  <w:style w:type="paragraph" w:styleId="BalloonText">
    <w:name w:val="Balloon Text"/>
    <w:basedOn w:val="Normal"/>
    <w:link w:val="BalloonTextChar"/>
    <w:uiPriority w:val="99"/>
    <w:semiHidden/>
    <w:unhideWhenUsed/>
    <w:rsid w:val="00B37632"/>
    <w:rPr>
      <w:rFonts w:ascii="Tahoma" w:hAnsi="Tahoma" w:cs="Tahoma"/>
      <w:sz w:val="16"/>
      <w:szCs w:val="16"/>
    </w:rPr>
  </w:style>
  <w:style w:type="character" w:customStyle="1" w:styleId="BalloonTextChar">
    <w:name w:val="Balloon Text Char"/>
    <w:basedOn w:val="DefaultParagraphFont"/>
    <w:link w:val="BalloonText"/>
    <w:uiPriority w:val="99"/>
    <w:semiHidden/>
    <w:rsid w:val="00B37632"/>
    <w:rPr>
      <w:rFonts w:ascii="Tahoma" w:hAnsi="Tahoma" w:cs="Tahoma"/>
      <w:sz w:val="16"/>
      <w:szCs w:val="16"/>
    </w:rPr>
  </w:style>
  <w:style w:type="paragraph" w:styleId="PlainText">
    <w:name w:val="Plain Text"/>
    <w:basedOn w:val="Normal"/>
    <w:link w:val="PlainTextChar"/>
    <w:uiPriority w:val="99"/>
    <w:unhideWhenUsed/>
    <w:rsid w:val="00B37632"/>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37632"/>
    <w:rPr>
      <w:rFonts w:ascii="Consolas" w:eastAsiaTheme="minorEastAsia" w:hAnsi="Consolas"/>
      <w:sz w:val="21"/>
      <w:szCs w:val="21"/>
    </w:rPr>
  </w:style>
  <w:style w:type="character" w:styleId="Strong">
    <w:name w:val="Strong"/>
    <w:basedOn w:val="DefaultParagraphFont"/>
    <w:uiPriority w:val="22"/>
    <w:qFormat/>
    <w:rsid w:val="0099687E"/>
    <w:rPr>
      <w:b/>
      <w:bCs/>
    </w:rPr>
  </w:style>
  <w:style w:type="paragraph" w:styleId="ListParagraph">
    <w:name w:val="List Paragraph"/>
    <w:basedOn w:val="Normal"/>
    <w:uiPriority w:val="34"/>
    <w:qFormat/>
    <w:rsid w:val="0023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7801">
      <w:bodyDiv w:val="1"/>
      <w:marLeft w:val="0"/>
      <w:marRight w:val="0"/>
      <w:marTop w:val="0"/>
      <w:marBottom w:val="0"/>
      <w:divBdr>
        <w:top w:val="none" w:sz="0" w:space="0" w:color="auto"/>
        <w:left w:val="none" w:sz="0" w:space="0" w:color="auto"/>
        <w:bottom w:val="none" w:sz="0" w:space="0" w:color="auto"/>
        <w:right w:val="none" w:sz="0" w:space="0" w:color="auto"/>
      </w:divBdr>
    </w:div>
    <w:div w:id="20560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2013-05-16T19:23:00Z</cp:lastPrinted>
  <dcterms:created xsi:type="dcterms:W3CDTF">2013-07-19T15:44:00Z</dcterms:created>
  <dcterms:modified xsi:type="dcterms:W3CDTF">2013-07-19T15:44:00Z</dcterms:modified>
</cp:coreProperties>
</file>